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47F76"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Manager assessment for</w:t>
      </w:r>
    </w:p>
    <w:p w14:paraId="26DAC569"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p>
    <w:p w14:paraId="31D40411"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Employee A</w:t>
      </w:r>
    </w:p>
    <w:p w14:paraId="2DACDF7C"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FY25 Performance, Contribution &amp; Growth (PCG) Review - SG</w:t>
      </w:r>
    </w:p>
    <w:p w14:paraId="5C0673AF"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Q1-2025, Q2-2025, Q3-2025, Q4-2025</w:t>
      </w:r>
    </w:p>
    <w:p w14:paraId="7E90E008"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p>
    <w:p w14:paraId="16EF7C7C"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Section A: OKRs</w:t>
      </w:r>
    </w:p>
    <w:p w14:paraId="7C8751F9"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Transform TPC’s businesses and functions that capitalizes on the shifts in the macro and technological environment.</w:t>
      </w:r>
    </w:p>
    <w:p w14:paraId="73899275" w14:textId="77777777" w:rsidR="002D0F2E" w:rsidRPr="002D0F2E" w:rsidRDefault="002D0F2E" w:rsidP="002D0F2E">
      <w:pPr>
        <w:spacing w:before="100" w:beforeAutospacing="1" w:after="100" w:afterAutospacing="1" w:line="300" w:lineRule="atLeast"/>
        <w:outlineLvl w:val="0"/>
        <w:rPr>
          <w:rFonts w:ascii="Segoe UI" w:hAnsi="Segoe UI" w:cs="Segoe UI"/>
          <w:b/>
          <w:bCs/>
          <w:kern w:val="36"/>
          <w:sz w:val="48"/>
          <w:szCs w:val="48"/>
        </w:rPr>
      </w:pPr>
      <w:r w:rsidRPr="002D0F2E">
        <w:rPr>
          <w:rFonts w:ascii="Segoe UI" w:hAnsi="Segoe UI" w:cs="Segoe UI"/>
          <w:b/>
          <w:bCs/>
          <w:kern w:val="36"/>
          <w:sz w:val="48"/>
          <w:szCs w:val="48"/>
        </w:rPr>
        <w:t>Employee A’s 2025 Contributions to TPC’s Transformation amid Macro &amp; Tech Shifts</w:t>
      </w:r>
    </w:p>
    <w:p w14:paraId="7FC48F7B"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In </w:t>
      </w:r>
      <w:r w:rsidRPr="002D0F2E">
        <w:rPr>
          <w:rFonts w:ascii="Segoe UI" w:hAnsi="Segoe UI" w:cs="Segoe UI"/>
          <w:b/>
          <w:bCs/>
          <w:sz w:val="21"/>
          <w:szCs w:val="21"/>
        </w:rPr>
        <w:t>2025</w:t>
      </w:r>
      <w:r w:rsidRPr="002D0F2E">
        <w:rPr>
          <w:rFonts w:ascii="Segoe UI" w:hAnsi="Segoe UI" w:cs="Segoe UI"/>
          <w:sz w:val="21"/>
          <w:szCs w:val="21"/>
        </w:rPr>
        <w:t xml:space="preserve">, </w:t>
      </w:r>
      <w:hyperlink r:id="rId8" w:history="1">
        <w:r w:rsidRPr="002D0F2E">
          <w:rPr>
            <w:rFonts w:ascii="Segoe UI" w:hAnsi="Segoe UI" w:cs="Segoe UI"/>
            <w:color w:val="464FEB"/>
            <w:sz w:val="21"/>
            <w:szCs w:val="21"/>
          </w:rPr>
          <w:t>Kenneth Tan</w:t>
        </w:r>
      </w:hyperlink>
      <w:r w:rsidRPr="002D0F2E">
        <w:rPr>
          <w:rFonts w:ascii="Segoe UI" w:hAnsi="Segoe UI" w:cs="Segoe UI"/>
          <w:sz w:val="21"/>
          <w:szCs w:val="21"/>
        </w:rPr>
        <w:t xml:space="preserve"> played a pivotal role in transforming TPC’s businesses and functions to seize emerging macroeconomic and technological opportunities. Operating as Deputy Executive Director of Octave Institute and a close collaborator of the Group CCO, Employee A led </w:t>
      </w:r>
      <w:r w:rsidRPr="002D0F2E">
        <w:rPr>
          <w:rFonts w:ascii="Segoe UI" w:hAnsi="Segoe UI" w:cs="Segoe UI"/>
          <w:b/>
          <w:bCs/>
          <w:sz w:val="21"/>
          <w:szCs w:val="21"/>
        </w:rPr>
        <w:t>digital initiatives</w:t>
      </w:r>
      <w:r w:rsidRPr="002D0F2E">
        <w:rPr>
          <w:rFonts w:ascii="Segoe UI" w:hAnsi="Segoe UI" w:cs="Segoe UI"/>
          <w:sz w:val="21"/>
          <w:szCs w:val="21"/>
        </w:rPr>
        <w:t xml:space="preserve"> and </w:t>
      </w:r>
      <w:r w:rsidRPr="002D0F2E">
        <w:rPr>
          <w:rFonts w:ascii="Segoe UI" w:hAnsi="Segoe UI" w:cs="Segoe UI"/>
          <w:b/>
          <w:bCs/>
          <w:sz w:val="21"/>
          <w:szCs w:val="21"/>
        </w:rPr>
        <w:t>cultural programs</w:t>
      </w:r>
      <w:r w:rsidRPr="002D0F2E">
        <w:rPr>
          <w:rFonts w:ascii="Segoe UI" w:hAnsi="Segoe UI" w:cs="Segoe UI"/>
          <w:sz w:val="21"/>
          <w:szCs w:val="21"/>
        </w:rPr>
        <w:t xml:space="preserve"> that aligned TPC with global trends like </w:t>
      </w:r>
      <w:r w:rsidRPr="002D0F2E">
        <w:rPr>
          <w:rFonts w:ascii="Segoe UI" w:hAnsi="Segoe UI" w:cs="Segoe UI"/>
          <w:b/>
          <w:bCs/>
          <w:sz w:val="21"/>
          <w:szCs w:val="21"/>
        </w:rPr>
        <w:t>AI-driven operations</w:t>
      </w:r>
      <w:r w:rsidRPr="002D0F2E">
        <w:rPr>
          <w:rFonts w:ascii="Segoe UI" w:hAnsi="Segoe UI" w:cs="Segoe UI"/>
          <w:sz w:val="21"/>
          <w:szCs w:val="21"/>
        </w:rPr>
        <w:t xml:space="preserve">, </w:t>
      </w:r>
      <w:r w:rsidRPr="002D0F2E">
        <w:rPr>
          <w:rFonts w:ascii="Segoe UI" w:hAnsi="Segoe UI" w:cs="Segoe UI"/>
          <w:b/>
          <w:bCs/>
          <w:sz w:val="21"/>
          <w:szCs w:val="21"/>
        </w:rPr>
        <w:t>data-centric management</w:t>
      </w:r>
      <w:r w:rsidRPr="002D0F2E">
        <w:rPr>
          <w:rFonts w:ascii="Segoe UI" w:hAnsi="Segoe UI" w:cs="Segoe UI"/>
          <w:sz w:val="21"/>
          <w:szCs w:val="21"/>
        </w:rPr>
        <w:t xml:space="preserve">, and a </w:t>
      </w:r>
      <w:r w:rsidRPr="002D0F2E">
        <w:rPr>
          <w:rFonts w:ascii="Segoe UI" w:hAnsi="Segoe UI" w:cs="Segoe UI"/>
          <w:b/>
          <w:bCs/>
          <w:sz w:val="21"/>
          <w:szCs w:val="21"/>
        </w:rPr>
        <w:t>well-being-focused work culture</w:t>
      </w:r>
      <w:r w:rsidRPr="002D0F2E">
        <w:rPr>
          <w:rFonts w:ascii="Segoe UI" w:hAnsi="Segoe UI" w:cs="Segoe UI"/>
          <w:sz w:val="21"/>
          <w:szCs w:val="21"/>
        </w:rPr>
        <w:t xml:space="preserve">. These efforts supported TPC’s strategic Objectives and Key Results (OKRs) for 2025 – notably the goal to </w:t>
      </w:r>
      <w:r w:rsidRPr="002D0F2E">
        <w:rPr>
          <w:rFonts w:ascii="Segoe UI" w:hAnsi="Segoe UI" w:cs="Segoe UI"/>
          <w:i/>
          <w:iCs/>
          <w:sz w:val="21"/>
          <w:szCs w:val="21"/>
        </w:rPr>
        <w:t>“transform TPC’s businesses and functions to capitalize on shifts in the macro and technological environment.”</w:t>
      </w:r>
      <w:hyperlink r:id="rId9" w:history="1">
        <w:r w:rsidRPr="002D0F2E">
          <w:rPr>
            <w:rFonts w:ascii="Segoe UI" w:hAnsi="Segoe UI" w:cs="Segoe UI"/>
            <w:color w:val="464FEB"/>
            <w:sz w:val="21"/>
            <w:szCs w:val="21"/>
          </w:rPr>
          <w:t>[1]</w:t>
        </w:r>
      </w:hyperlink>
      <w:r w:rsidRPr="002D0F2E">
        <w:rPr>
          <w:rFonts w:ascii="Segoe UI" w:hAnsi="Segoe UI" w:cs="Segoe UI"/>
          <w:sz w:val="21"/>
          <w:szCs w:val="21"/>
        </w:rPr>
        <w:t xml:space="preserve"> Below, we detail Employee A’s specific initiatives, strategic decisions, and their outcomes, organized by theme and chronology.</w:t>
      </w:r>
    </w:p>
    <w:p w14:paraId="32C160FD"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noProof/>
          <w:sz w:val="21"/>
          <w:szCs w:val="21"/>
        </w:rPr>
        <w:drawing>
          <wp:inline distT="0" distB="0" distL="0" distR="0" wp14:anchorId="5FAA97D8" wp14:editId="2E902CB6">
            <wp:extent cx="4724400" cy="10801350"/>
            <wp:effectExtent l="0" t="0" r="0" b="0"/>
            <wp:docPr id="1103112732" name="Picture 1103112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24400" cy="10801350"/>
                    </a:xfrm>
                    <a:prstGeom prst="rect">
                      <a:avLst/>
                    </a:prstGeom>
                    <a:noFill/>
                    <a:ln>
                      <a:noFill/>
                    </a:ln>
                  </pic:spPr>
                </pic:pic>
              </a:graphicData>
            </a:graphic>
          </wp:inline>
        </w:drawing>
      </w:r>
    </w:p>
    <w:p w14:paraId="3FB294C4" w14:textId="77777777" w:rsidR="002D0F2E" w:rsidRPr="002D0F2E" w:rsidRDefault="00977BB2" w:rsidP="002D0F2E">
      <w:pPr>
        <w:spacing w:line="300" w:lineRule="atLeast"/>
        <w:rPr>
          <w:rFonts w:ascii="Segoe UI" w:hAnsi="Segoe UI" w:cs="Segoe UI"/>
          <w:sz w:val="21"/>
          <w:szCs w:val="21"/>
        </w:rPr>
      </w:pPr>
      <w:r>
        <w:rPr>
          <w:rFonts w:ascii="Segoe UI" w:hAnsi="Segoe UI" w:cs="Segoe UI"/>
          <w:sz w:val="21"/>
          <w:szCs w:val="21"/>
        </w:rPr>
        <w:pict w14:anchorId="11012232">
          <v:rect id="_x0000_i1025" style="width:0;height:1.5pt" o:hralign="center" o:hrstd="t" o:hr="t" fillcolor="#a0a0a0" stroked="f"/>
        </w:pict>
      </w:r>
    </w:p>
    <w:p w14:paraId="4101E84A" w14:textId="77777777" w:rsidR="002D0F2E" w:rsidRPr="002D0F2E" w:rsidRDefault="002D0F2E" w:rsidP="002D0F2E">
      <w:pPr>
        <w:spacing w:before="100" w:beforeAutospacing="1" w:after="100" w:afterAutospacing="1" w:line="300" w:lineRule="atLeast"/>
        <w:outlineLvl w:val="1"/>
        <w:rPr>
          <w:rFonts w:ascii="Segoe UI" w:hAnsi="Segoe UI" w:cs="Segoe UI"/>
          <w:b/>
          <w:bCs/>
          <w:sz w:val="36"/>
          <w:szCs w:val="36"/>
        </w:rPr>
      </w:pPr>
      <w:r w:rsidRPr="002D0F2E">
        <w:rPr>
          <w:rFonts w:ascii="Segoe UI" w:hAnsi="Segoe UI" w:cs="Segoe UI"/>
          <w:b/>
          <w:bCs/>
          <w:sz w:val="36"/>
          <w:szCs w:val="36"/>
        </w:rPr>
        <w:t>Leveraging Technology for Operational Transformation</w:t>
      </w:r>
    </w:p>
    <w:p w14:paraId="0139247F"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One of Employee A’s hallmark contributions in 2025 was harnessing new technologies—especially </w:t>
      </w:r>
      <w:r w:rsidRPr="002D0F2E">
        <w:rPr>
          <w:rFonts w:ascii="Segoe UI" w:hAnsi="Segoe UI" w:cs="Segoe UI"/>
          <w:b/>
          <w:bCs/>
          <w:sz w:val="21"/>
          <w:szCs w:val="21"/>
        </w:rPr>
        <w:t>AI and automation</w:t>
      </w:r>
      <w:r w:rsidRPr="002D0F2E">
        <w:rPr>
          <w:rFonts w:ascii="Segoe UI" w:hAnsi="Segoe UI" w:cs="Segoe UI"/>
          <w:sz w:val="21"/>
          <w:szCs w:val="21"/>
        </w:rPr>
        <w:t xml:space="preserve">—to modernize TPC’s operations. He operationalized the vision that technology shifts (like the AI revolution) should be </w:t>
      </w:r>
      <w:r w:rsidRPr="002D0F2E">
        <w:rPr>
          <w:rFonts w:ascii="Segoe UI" w:hAnsi="Segoe UI" w:cs="Segoe UI"/>
          <w:i/>
          <w:iCs/>
          <w:sz w:val="21"/>
          <w:szCs w:val="21"/>
        </w:rPr>
        <w:t>exploited</w:t>
      </w:r>
      <w:r w:rsidRPr="002D0F2E">
        <w:rPr>
          <w:rFonts w:ascii="Segoe UI" w:hAnsi="Segoe UI" w:cs="Segoe UI"/>
          <w:sz w:val="21"/>
          <w:szCs w:val="21"/>
        </w:rPr>
        <w:t xml:space="preserve"> to improve how the company runs. Several initiatives illustrate his tech-driven impact:</w:t>
      </w:r>
    </w:p>
    <w:p w14:paraId="0839C5CD" w14:textId="77777777" w:rsidR="002D0F2E" w:rsidRPr="002D0F2E" w:rsidRDefault="002D0F2E" w:rsidP="002D0F2E">
      <w:pPr>
        <w:numPr>
          <w:ilvl w:val="0"/>
          <w:numId w:val="5"/>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AI-Powered Performance Management:</w:t>
      </w:r>
      <w:r w:rsidRPr="002D0F2E">
        <w:rPr>
          <w:rFonts w:ascii="Segoe UI" w:hAnsi="Segoe UI" w:cs="Segoe UI"/>
          <w:sz w:val="21"/>
          <w:szCs w:val="21"/>
        </w:rPr>
        <w:t xml:space="preserve"> Under Employee A’s guidance, TPC’s HR function underwent a digital overhaul. He </w:t>
      </w:r>
      <w:r w:rsidRPr="002D0F2E">
        <w:rPr>
          <w:rFonts w:ascii="Segoe UI" w:hAnsi="Segoe UI" w:cs="Segoe UI"/>
          <w:b/>
          <w:bCs/>
          <w:sz w:val="21"/>
          <w:szCs w:val="21"/>
        </w:rPr>
        <w:t>launched an AI-based performance tracking system</w:t>
      </w:r>
      <w:r w:rsidRPr="002D0F2E">
        <w:rPr>
          <w:rFonts w:ascii="Segoe UI" w:hAnsi="Segoe UI" w:cs="Segoe UI"/>
          <w:sz w:val="21"/>
          <w:szCs w:val="21"/>
        </w:rPr>
        <w:t xml:space="preserve"> that aggregated diverse employee data into an “</w:t>
      </w:r>
      <w:r w:rsidRPr="002D0F2E">
        <w:rPr>
          <w:rFonts w:ascii="Segoe UI" w:hAnsi="Segoe UI" w:cs="Segoe UI"/>
          <w:i/>
          <w:iCs/>
          <w:sz w:val="21"/>
          <w:szCs w:val="21"/>
        </w:rPr>
        <w:t>AI digital twin</w:t>
      </w:r>
      <w:r w:rsidRPr="002D0F2E">
        <w:rPr>
          <w:rFonts w:ascii="Segoe UI" w:hAnsi="Segoe UI" w:cs="Segoe UI"/>
          <w:sz w:val="21"/>
          <w:szCs w:val="21"/>
        </w:rPr>
        <w:t xml:space="preserve">” model. By May, core profile data for each employee (e.g. roles, personality, past reviews) had been captured as </w:t>
      </w:r>
      <w:r w:rsidRPr="002D0F2E">
        <w:rPr>
          <w:rFonts w:ascii="Segoe UI" w:hAnsi="Segoe UI" w:cs="Segoe UI"/>
          <w:i/>
          <w:iCs/>
          <w:sz w:val="21"/>
          <w:szCs w:val="21"/>
        </w:rPr>
        <w:t>Level 1</w:t>
      </w:r>
      <w:r w:rsidRPr="002D0F2E">
        <w:rPr>
          <w:rFonts w:ascii="Segoe UI" w:hAnsi="Segoe UI" w:cs="Segoe UI"/>
          <w:sz w:val="21"/>
          <w:szCs w:val="21"/>
        </w:rPr>
        <w:t xml:space="preserve"> of this model</w:t>
      </w:r>
      <w:hyperlink r:id="rId11" w:history="1">
        <w:r w:rsidRPr="002D0F2E">
          <w:rPr>
            <w:rFonts w:ascii="Segoe UI" w:hAnsi="Segoe UI" w:cs="Segoe UI"/>
            <w:color w:val="464FEB"/>
            <w:sz w:val="21"/>
            <w:szCs w:val="21"/>
          </w:rPr>
          <w:t>[1]</w:t>
        </w:r>
      </w:hyperlink>
      <w:r w:rsidRPr="002D0F2E">
        <w:rPr>
          <w:rFonts w:ascii="Segoe UI" w:hAnsi="Segoe UI" w:cs="Segoe UI"/>
          <w:sz w:val="21"/>
          <w:szCs w:val="21"/>
        </w:rPr>
        <w:t xml:space="preserve">. The goal was to use machine learning to identify development needs and predict talent outcomes. In parallel, the annual appraisal process was migrated to an online </w:t>
      </w:r>
      <w:proofErr w:type="spellStart"/>
      <w:r w:rsidRPr="002D0F2E">
        <w:rPr>
          <w:rFonts w:ascii="Segoe UI" w:hAnsi="Segoe UI" w:cs="Segoe UI"/>
          <w:b/>
          <w:bCs/>
          <w:sz w:val="21"/>
          <w:szCs w:val="21"/>
        </w:rPr>
        <w:t>ePCG</w:t>
      </w:r>
      <w:proofErr w:type="spellEnd"/>
      <w:r w:rsidRPr="002D0F2E">
        <w:rPr>
          <w:rFonts w:ascii="Segoe UI" w:hAnsi="Segoe UI" w:cs="Segoe UI"/>
          <w:b/>
          <w:bCs/>
          <w:sz w:val="21"/>
          <w:szCs w:val="21"/>
        </w:rPr>
        <w:t xml:space="preserve"> platform</w:t>
      </w:r>
      <w:r w:rsidRPr="002D0F2E">
        <w:rPr>
          <w:rFonts w:ascii="Segoe UI" w:hAnsi="Segoe UI" w:cs="Segoe UI"/>
          <w:sz w:val="21"/>
          <w:szCs w:val="21"/>
        </w:rPr>
        <w:t>, allowing integration with the OKR system and even offering AI assistance for employees’ self-reflection write-ups</w:t>
      </w:r>
      <w:hyperlink r:id="rId12" w:history="1">
        <w:r w:rsidRPr="002D0F2E">
          <w:rPr>
            <w:rFonts w:ascii="Segoe UI" w:hAnsi="Segoe UI" w:cs="Segoe UI"/>
            <w:color w:val="464FEB"/>
            <w:sz w:val="21"/>
            <w:szCs w:val="21"/>
          </w:rPr>
          <w:t>[2]</w:t>
        </w:r>
      </w:hyperlink>
      <w:hyperlink r:id="rId13" w:history="1">
        <w:r w:rsidRPr="002D0F2E">
          <w:rPr>
            <w:rFonts w:ascii="Segoe UI" w:hAnsi="Segoe UI" w:cs="Segoe UI"/>
            <w:color w:val="464FEB"/>
            <w:sz w:val="21"/>
            <w:szCs w:val="21"/>
          </w:rPr>
          <w:t>[2]</w:t>
        </w:r>
      </w:hyperlink>
      <w:r w:rsidRPr="002D0F2E">
        <w:rPr>
          <w:rFonts w:ascii="Segoe UI" w:hAnsi="Segoe UI" w:cs="Segoe UI"/>
          <w:sz w:val="21"/>
          <w:szCs w:val="21"/>
        </w:rPr>
        <w:t xml:space="preserve">. This meant that by year-end 2025, </w:t>
      </w:r>
      <w:r w:rsidRPr="002D0F2E">
        <w:rPr>
          <w:rFonts w:ascii="Segoe UI" w:hAnsi="Segoe UI" w:cs="Segoe UI"/>
          <w:b/>
          <w:bCs/>
          <w:sz w:val="21"/>
          <w:szCs w:val="21"/>
        </w:rPr>
        <w:t>100% of TPC’s performance reviews were managed digitally</w:t>
      </w:r>
      <w:r w:rsidRPr="002D0F2E">
        <w:rPr>
          <w:rFonts w:ascii="Segoe UI" w:hAnsi="Segoe UI" w:cs="Segoe UI"/>
          <w:sz w:val="21"/>
          <w:szCs w:val="21"/>
        </w:rPr>
        <w:t>, with AI algorithms ready to highlight patterns (once sufficient data was gathered). The immediate impact was improved efficiency and consistency – managers and staff spent less time on paperwork and more on quality conversations. Longer-term, this data trove positioned TPC to apply predictive analytics to succession planning and skill gaps in 2026.</w:t>
      </w:r>
    </w:p>
    <w:p w14:paraId="2B65FCA7" w14:textId="77777777" w:rsidR="002D0F2E" w:rsidRPr="002D0F2E" w:rsidRDefault="002D0F2E" w:rsidP="002D0F2E">
      <w:pPr>
        <w:numPr>
          <w:ilvl w:val="0"/>
          <w:numId w:val="5"/>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w:t>
      </w:r>
      <w:proofErr w:type="spellStart"/>
      <w:r w:rsidRPr="002D0F2E">
        <w:rPr>
          <w:rFonts w:ascii="Segoe UI" w:hAnsi="Segoe UI" w:cs="Segoe UI"/>
          <w:b/>
          <w:bCs/>
          <w:sz w:val="21"/>
          <w:szCs w:val="21"/>
        </w:rPr>
        <w:t>TalentVerse</w:t>
      </w:r>
      <w:proofErr w:type="spellEnd"/>
      <w:r w:rsidRPr="002D0F2E">
        <w:rPr>
          <w:rFonts w:ascii="Segoe UI" w:hAnsi="Segoe UI" w:cs="Segoe UI"/>
          <w:b/>
          <w:bCs/>
          <w:sz w:val="21"/>
          <w:szCs w:val="21"/>
        </w:rPr>
        <w:t>” Platform &amp; AI Coaching:</w:t>
      </w:r>
      <w:r w:rsidRPr="002D0F2E">
        <w:rPr>
          <w:rFonts w:ascii="Segoe UI" w:hAnsi="Segoe UI" w:cs="Segoe UI"/>
          <w:sz w:val="21"/>
          <w:szCs w:val="21"/>
        </w:rPr>
        <w:t xml:space="preserve"> Employee A also introduced </w:t>
      </w:r>
      <w:proofErr w:type="spellStart"/>
      <w:r w:rsidRPr="002D0F2E">
        <w:rPr>
          <w:rFonts w:ascii="Segoe UI" w:hAnsi="Segoe UI" w:cs="Segoe UI"/>
          <w:i/>
          <w:iCs/>
          <w:sz w:val="21"/>
          <w:szCs w:val="21"/>
        </w:rPr>
        <w:t>TalentVerse</w:t>
      </w:r>
      <w:proofErr w:type="spellEnd"/>
      <w:r w:rsidRPr="002D0F2E">
        <w:rPr>
          <w:rFonts w:ascii="Segoe UI" w:hAnsi="Segoe UI" w:cs="Segoe UI"/>
          <w:sz w:val="21"/>
          <w:szCs w:val="21"/>
        </w:rPr>
        <w:t xml:space="preserve">, an internal platform envisioned to use AI for talent development. In a May planning chat, Sherin Goh (Chief P\&amp;O) identified </w:t>
      </w:r>
      <w:proofErr w:type="spellStart"/>
      <w:r w:rsidRPr="002D0F2E">
        <w:rPr>
          <w:rFonts w:ascii="Segoe UI" w:hAnsi="Segoe UI" w:cs="Segoe UI"/>
          <w:sz w:val="21"/>
          <w:szCs w:val="21"/>
        </w:rPr>
        <w:t>TalentVerse</w:t>
      </w:r>
      <w:proofErr w:type="spellEnd"/>
      <w:r w:rsidRPr="002D0F2E">
        <w:rPr>
          <w:rFonts w:ascii="Segoe UI" w:hAnsi="Segoe UI" w:cs="Segoe UI"/>
          <w:sz w:val="21"/>
          <w:szCs w:val="21"/>
        </w:rPr>
        <w:t xml:space="preserve"> as a “key output” of TPC’s AI strategy</w:t>
      </w:r>
      <w:hyperlink r:id="rId14" w:history="1">
        <w:r w:rsidRPr="002D0F2E">
          <w:rPr>
            <w:rFonts w:ascii="Segoe UI" w:hAnsi="Segoe UI" w:cs="Segoe UI"/>
            <w:color w:val="464FEB"/>
            <w:sz w:val="21"/>
            <w:szCs w:val="21"/>
          </w:rPr>
          <w:t>[3]</w:t>
        </w:r>
      </w:hyperlink>
      <w:r w:rsidRPr="002D0F2E">
        <w:rPr>
          <w:rFonts w:ascii="Segoe UI" w:hAnsi="Segoe UI" w:cs="Segoe UI"/>
          <w:sz w:val="21"/>
          <w:szCs w:val="21"/>
        </w:rPr>
        <w:t xml:space="preserve">. Employee A coordinated the development of </w:t>
      </w:r>
      <w:proofErr w:type="spellStart"/>
      <w:r w:rsidRPr="002D0F2E">
        <w:rPr>
          <w:rFonts w:ascii="Segoe UI" w:hAnsi="Segoe UI" w:cs="Segoe UI"/>
          <w:sz w:val="21"/>
          <w:szCs w:val="21"/>
        </w:rPr>
        <w:t>TalentVerse</w:t>
      </w:r>
      <w:proofErr w:type="spellEnd"/>
      <w:r w:rsidRPr="002D0F2E">
        <w:rPr>
          <w:rFonts w:ascii="Segoe UI" w:hAnsi="Segoe UI" w:cs="Segoe UI"/>
          <w:sz w:val="21"/>
          <w:szCs w:val="21"/>
        </w:rPr>
        <w:t>, preparing demo content with his team (notably with an engineer, Fugee)</w:t>
      </w:r>
      <w:hyperlink r:id="rId15" w:history="1">
        <w:r w:rsidRPr="002D0F2E">
          <w:rPr>
            <w:rFonts w:ascii="Segoe UI" w:hAnsi="Segoe UI" w:cs="Segoe UI"/>
            <w:color w:val="464FEB"/>
            <w:sz w:val="21"/>
            <w:szCs w:val="21"/>
          </w:rPr>
          <w:t>[3]</w:t>
        </w:r>
      </w:hyperlink>
      <w:r w:rsidRPr="002D0F2E">
        <w:rPr>
          <w:rFonts w:ascii="Segoe UI" w:hAnsi="Segoe UI" w:cs="Segoe UI"/>
          <w:sz w:val="21"/>
          <w:szCs w:val="21"/>
        </w:rPr>
        <w:t xml:space="preserve">. While details of </w:t>
      </w:r>
      <w:proofErr w:type="spellStart"/>
      <w:r w:rsidRPr="002D0F2E">
        <w:rPr>
          <w:rFonts w:ascii="Segoe UI" w:hAnsi="Segoe UI" w:cs="Segoe UI"/>
          <w:sz w:val="21"/>
          <w:szCs w:val="21"/>
        </w:rPr>
        <w:t>TalentVerse</w:t>
      </w:r>
      <w:proofErr w:type="spellEnd"/>
      <w:r w:rsidRPr="002D0F2E">
        <w:rPr>
          <w:rFonts w:ascii="Segoe UI" w:hAnsi="Segoe UI" w:cs="Segoe UI"/>
          <w:sz w:val="21"/>
          <w:szCs w:val="21"/>
        </w:rPr>
        <w:t xml:space="preserve"> remain proprietary, the naming suggests a </w:t>
      </w:r>
      <w:r w:rsidRPr="002D0F2E">
        <w:rPr>
          <w:rFonts w:ascii="Segoe UI" w:hAnsi="Segoe UI" w:cs="Segoe UI"/>
          <w:b/>
          <w:bCs/>
          <w:sz w:val="21"/>
          <w:szCs w:val="21"/>
        </w:rPr>
        <w:t>unified environment for employees to chart careers and reskill</w:t>
      </w:r>
      <w:r w:rsidRPr="002D0F2E">
        <w:rPr>
          <w:rFonts w:ascii="Segoe UI" w:hAnsi="Segoe UI" w:cs="Segoe UI"/>
          <w:sz w:val="21"/>
          <w:szCs w:val="21"/>
        </w:rPr>
        <w:t xml:space="preserve"> with AI-driven recommendations. Alongside, Employee A rolled out an </w:t>
      </w:r>
      <w:r w:rsidRPr="002D0F2E">
        <w:rPr>
          <w:rFonts w:ascii="Segoe UI" w:hAnsi="Segoe UI" w:cs="Segoe UI"/>
          <w:b/>
          <w:bCs/>
          <w:sz w:val="21"/>
          <w:szCs w:val="21"/>
        </w:rPr>
        <w:t>AI Coaching</w:t>
      </w:r>
      <w:r w:rsidRPr="002D0F2E">
        <w:rPr>
          <w:rFonts w:ascii="Segoe UI" w:hAnsi="Segoe UI" w:cs="Segoe UI"/>
          <w:sz w:val="21"/>
          <w:szCs w:val="21"/>
        </w:rPr>
        <w:t xml:space="preserve"> initiative – he developed slides for an “AI Catalyst” program and an </w:t>
      </w:r>
      <w:r w:rsidRPr="002D0F2E">
        <w:rPr>
          <w:rFonts w:ascii="Segoe UI" w:hAnsi="Segoe UI" w:cs="Segoe UI"/>
          <w:b/>
          <w:bCs/>
          <w:sz w:val="21"/>
          <w:szCs w:val="21"/>
        </w:rPr>
        <w:t>AI coaching pilot</w:t>
      </w:r>
      <w:r w:rsidRPr="002D0F2E">
        <w:rPr>
          <w:rFonts w:ascii="Segoe UI" w:hAnsi="Segoe UI" w:cs="Segoe UI"/>
          <w:sz w:val="21"/>
          <w:szCs w:val="21"/>
        </w:rPr>
        <w:t xml:space="preserve"> where an artificial intelligence would assist or augment human coaches in guiding employees</w:t>
      </w:r>
      <w:hyperlink r:id="rId16" w:history="1">
        <w:r w:rsidRPr="002D0F2E">
          <w:rPr>
            <w:rFonts w:ascii="Segoe UI" w:hAnsi="Segoe UI" w:cs="Segoe UI"/>
            <w:color w:val="464FEB"/>
            <w:sz w:val="21"/>
            <w:szCs w:val="21"/>
          </w:rPr>
          <w:t>[3]</w:t>
        </w:r>
      </w:hyperlink>
      <w:r w:rsidRPr="002D0F2E">
        <w:rPr>
          <w:rFonts w:ascii="Segoe UI" w:hAnsi="Segoe UI" w:cs="Segoe UI"/>
          <w:sz w:val="21"/>
          <w:szCs w:val="21"/>
        </w:rPr>
        <w:t>. By July, these ideas had translated into concrete plans presented to the Group Chairman</w:t>
      </w:r>
      <w:hyperlink r:id="rId17" w:history="1">
        <w:r w:rsidRPr="002D0F2E">
          <w:rPr>
            <w:rFonts w:ascii="Segoe UI" w:hAnsi="Segoe UI" w:cs="Segoe UI"/>
            <w:color w:val="464FEB"/>
            <w:sz w:val="21"/>
            <w:szCs w:val="21"/>
          </w:rPr>
          <w:t>[4]</w:t>
        </w:r>
      </w:hyperlink>
      <w:hyperlink r:id="rId18" w:history="1">
        <w:r w:rsidRPr="002D0F2E">
          <w:rPr>
            <w:rFonts w:ascii="Segoe UI" w:hAnsi="Segoe UI" w:cs="Segoe UI"/>
            <w:color w:val="464FEB"/>
            <w:sz w:val="21"/>
            <w:szCs w:val="21"/>
          </w:rPr>
          <w:t>[4]</w:t>
        </w:r>
      </w:hyperlink>
      <w:r w:rsidRPr="002D0F2E">
        <w:rPr>
          <w:rFonts w:ascii="Segoe UI" w:hAnsi="Segoe UI" w:cs="Segoe UI"/>
          <w:sz w:val="21"/>
          <w:szCs w:val="21"/>
        </w:rPr>
        <w:t xml:space="preserve">. The </w:t>
      </w:r>
      <w:r w:rsidRPr="002D0F2E">
        <w:rPr>
          <w:rFonts w:ascii="Segoe UI" w:hAnsi="Segoe UI" w:cs="Segoe UI"/>
          <w:b/>
          <w:bCs/>
          <w:sz w:val="21"/>
          <w:szCs w:val="21"/>
        </w:rPr>
        <w:t>impact</w:t>
      </w:r>
      <w:r w:rsidRPr="002D0F2E">
        <w:rPr>
          <w:rFonts w:ascii="Segoe UI" w:hAnsi="Segoe UI" w:cs="Segoe UI"/>
          <w:sz w:val="21"/>
          <w:szCs w:val="21"/>
        </w:rPr>
        <w:t xml:space="preserve"> of these efforts started to materialize by Q4: a first run of the </w:t>
      </w:r>
      <w:proofErr w:type="spellStart"/>
      <w:r w:rsidRPr="002D0F2E">
        <w:rPr>
          <w:rFonts w:ascii="Segoe UI" w:hAnsi="Segoe UI" w:cs="Segoe UI"/>
          <w:sz w:val="21"/>
          <w:szCs w:val="21"/>
        </w:rPr>
        <w:t>TalentVerse</w:t>
      </w:r>
      <w:proofErr w:type="spellEnd"/>
      <w:r w:rsidRPr="002D0F2E">
        <w:rPr>
          <w:rFonts w:ascii="Segoe UI" w:hAnsi="Segoe UI" w:cs="Segoe UI"/>
          <w:sz w:val="21"/>
          <w:szCs w:val="21"/>
        </w:rPr>
        <w:t xml:space="preserve"> model was conducted in October (revealing some kinks to iron out)</w:t>
      </w:r>
      <w:hyperlink r:id="rId19" w:history="1">
        <w:r w:rsidRPr="002D0F2E">
          <w:rPr>
            <w:rFonts w:ascii="Segoe UI" w:hAnsi="Segoe UI" w:cs="Segoe UI"/>
            <w:color w:val="464FEB"/>
            <w:sz w:val="21"/>
            <w:szCs w:val="21"/>
          </w:rPr>
          <w:t>[5]</w:t>
        </w:r>
      </w:hyperlink>
      <w:r w:rsidRPr="002D0F2E">
        <w:rPr>
          <w:rFonts w:ascii="Segoe UI" w:hAnsi="Segoe UI" w:cs="Segoe UI"/>
          <w:sz w:val="21"/>
          <w:szCs w:val="21"/>
        </w:rPr>
        <w:t xml:space="preserve">, and a second run was scheduled, indicating rapid iteration. Although still in pilot stage, </w:t>
      </w:r>
      <w:proofErr w:type="spellStart"/>
      <w:r w:rsidRPr="002D0F2E">
        <w:rPr>
          <w:rFonts w:ascii="Segoe UI" w:hAnsi="Segoe UI" w:cs="Segoe UI"/>
          <w:sz w:val="21"/>
          <w:szCs w:val="21"/>
        </w:rPr>
        <w:t>TalentVerse</w:t>
      </w:r>
      <w:proofErr w:type="spellEnd"/>
      <w:r w:rsidRPr="002D0F2E">
        <w:rPr>
          <w:rFonts w:ascii="Segoe UI" w:hAnsi="Segoe UI" w:cs="Segoe UI"/>
          <w:sz w:val="21"/>
          <w:szCs w:val="21"/>
        </w:rPr>
        <w:t xml:space="preserve"> and AI coaching </w:t>
      </w:r>
      <w:proofErr w:type="spellStart"/>
      <w:r w:rsidRPr="002D0F2E">
        <w:rPr>
          <w:rFonts w:ascii="Segoe UI" w:hAnsi="Segoe UI" w:cs="Segoe UI"/>
          <w:sz w:val="21"/>
          <w:szCs w:val="21"/>
        </w:rPr>
        <w:t>signaled</w:t>
      </w:r>
      <w:proofErr w:type="spellEnd"/>
      <w:r w:rsidRPr="002D0F2E">
        <w:rPr>
          <w:rFonts w:ascii="Segoe UI" w:hAnsi="Segoe UI" w:cs="Segoe UI"/>
          <w:sz w:val="21"/>
          <w:szCs w:val="21"/>
        </w:rPr>
        <w:t xml:space="preserve"> a </w:t>
      </w:r>
      <w:r w:rsidRPr="002D0F2E">
        <w:rPr>
          <w:rFonts w:ascii="Segoe UI" w:hAnsi="Segoe UI" w:cs="Segoe UI"/>
          <w:b/>
          <w:bCs/>
          <w:sz w:val="21"/>
          <w:szCs w:val="21"/>
        </w:rPr>
        <w:t>bold embrace of cutting-edge tech</w:t>
      </w:r>
      <w:r w:rsidRPr="002D0F2E">
        <w:rPr>
          <w:rFonts w:ascii="Segoe UI" w:hAnsi="Segoe UI" w:cs="Segoe UI"/>
          <w:sz w:val="21"/>
          <w:szCs w:val="21"/>
        </w:rPr>
        <w:t xml:space="preserve"> to personalize learning at scale. They also responded to a macro trend – the need to continuously upskill employees in an age of AI, rather than rely solely on traditional training.</w:t>
      </w:r>
    </w:p>
    <w:p w14:paraId="029A53F9" w14:textId="77777777" w:rsidR="002D0F2E" w:rsidRPr="002D0F2E" w:rsidRDefault="002D0F2E" w:rsidP="002D0F2E">
      <w:pPr>
        <w:numPr>
          <w:ilvl w:val="0"/>
          <w:numId w:val="5"/>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 xml:space="preserve">Process Automation with </w:t>
      </w:r>
      <w:proofErr w:type="spellStart"/>
      <w:r w:rsidRPr="002D0F2E">
        <w:rPr>
          <w:rFonts w:ascii="Segoe UI" w:hAnsi="Segoe UI" w:cs="Segoe UI"/>
          <w:b/>
          <w:bCs/>
          <w:sz w:val="21"/>
          <w:szCs w:val="21"/>
        </w:rPr>
        <w:t>Yeeflow</w:t>
      </w:r>
      <w:proofErr w:type="spellEnd"/>
      <w:r w:rsidRPr="002D0F2E">
        <w:rPr>
          <w:rFonts w:ascii="Segoe UI" w:hAnsi="Segoe UI" w:cs="Segoe UI"/>
          <w:b/>
          <w:bCs/>
          <w:sz w:val="21"/>
          <w:szCs w:val="21"/>
        </w:rPr>
        <w:t>:</w:t>
      </w:r>
      <w:r w:rsidRPr="002D0F2E">
        <w:rPr>
          <w:rFonts w:ascii="Segoe UI" w:hAnsi="Segoe UI" w:cs="Segoe UI"/>
          <w:sz w:val="21"/>
          <w:szCs w:val="21"/>
        </w:rPr>
        <w:t xml:space="preserve"> In 2025, Employee A targeted not just HR processes but </w:t>
      </w:r>
      <w:r w:rsidRPr="002D0F2E">
        <w:rPr>
          <w:rFonts w:ascii="Segoe UI" w:hAnsi="Segoe UI" w:cs="Segoe UI"/>
          <w:b/>
          <w:bCs/>
          <w:sz w:val="21"/>
          <w:szCs w:val="21"/>
        </w:rPr>
        <w:t>operational workflows</w:t>
      </w:r>
      <w:r w:rsidRPr="002D0F2E">
        <w:rPr>
          <w:rFonts w:ascii="Segoe UI" w:hAnsi="Segoe UI" w:cs="Segoe UI"/>
          <w:sz w:val="21"/>
          <w:szCs w:val="21"/>
        </w:rPr>
        <w:t xml:space="preserve"> for improvement. He championed the use of </w:t>
      </w:r>
      <w:proofErr w:type="spellStart"/>
      <w:r w:rsidRPr="002D0F2E">
        <w:rPr>
          <w:rFonts w:ascii="Segoe UI" w:hAnsi="Segoe UI" w:cs="Segoe UI"/>
          <w:sz w:val="21"/>
          <w:szCs w:val="21"/>
        </w:rPr>
        <w:t>Yeeflow</w:t>
      </w:r>
      <w:proofErr w:type="spellEnd"/>
      <w:r w:rsidRPr="002D0F2E">
        <w:rPr>
          <w:rFonts w:ascii="Segoe UI" w:hAnsi="Segoe UI" w:cs="Segoe UI"/>
          <w:sz w:val="21"/>
          <w:szCs w:val="21"/>
        </w:rPr>
        <w:t xml:space="preserve"> (a no-code process automation tool) to streamline routine internal transactions. The results were striking: </w:t>
      </w:r>
      <w:r w:rsidRPr="002D0F2E">
        <w:rPr>
          <w:rFonts w:ascii="Segoe UI" w:hAnsi="Segoe UI" w:cs="Segoe UI"/>
          <w:b/>
          <w:bCs/>
          <w:sz w:val="21"/>
          <w:szCs w:val="21"/>
        </w:rPr>
        <w:t>10 global and 14 local workflows were digitized</w:t>
      </w:r>
      <w:r w:rsidRPr="002D0F2E">
        <w:rPr>
          <w:rFonts w:ascii="Segoe UI" w:hAnsi="Segoe UI" w:cs="Segoe UI"/>
          <w:sz w:val="21"/>
          <w:szCs w:val="21"/>
        </w:rPr>
        <w:t xml:space="preserve"> in the first half of 2025</w:t>
      </w:r>
      <w:hyperlink r:id="rId20" w:history="1">
        <w:r w:rsidRPr="002D0F2E">
          <w:rPr>
            <w:rFonts w:ascii="Segoe UI" w:hAnsi="Segoe UI" w:cs="Segoe UI"/>
            <w:color w:val="464FEB"/>
            <w:sz w:val="21"/>
            <w:szCs w:val="21"/>
          </w:rPr>
          <w:t>[4]</w:t>
        </w:r>
      </w:hyperlink>
      <w:hyperlink r:id="rId21" w:history="1">
        <w:r w:rsidRPr="002D0F2E">
          <w:rPr>
            <w:rFonts w:ascii="Segoe UI" w:hAnsi="Segoe UI" w:cs="Segoe UI"/>
            <w:color w:val="464FEB"/>
            <w:sz w:val="21"/>
            <w:szCs w:val="21"/>
          </w:rPr>
          <w:t>[4]</w:t>
        </w:r>
      </w:hyperlink>
      <w:r w:rsidRPr="002D0F2E">
        <w:rPr>
          <w:rFonts w:ascii="Segoe UI" w:hAnsi="Segoe UI" w:cs="Segoe UI"/>
          <w:sz w:val="21"/>
          <w:szCs w:val="21"/>
        </w:rPr>
        <w:t xml:space="preserve">. These included things like expense approvals, travel requests, and form submissions that were previously done via email or paper. By converting them into app-based workflows, </w:t>
      </w:r>
      <w:r w:rsidRPr="002D0F2E">
        <w:rPr>
          <w:rFonts w:ascii="Segoe UI" w:hAnsi="Segoe UI" w:cs="Segoe UI"/>
          <w:b/>
          <w:bCs/>
          <w:sz w:val="21"/>
          <w:szCs w:val="21"/>
        </w:rPr>
        <w:t>processing time and errors dropped noticeably</w:t>
      </w:r>
      <w:r w:rsidRPr="002D0F2E">
        <w:rPr>
          <w:rFonts w:ascii="Segoe UI" w:hAnsi="Segoe UI" w:cs="Segoe UI"/>
          <w:sz w:val="21"/>
          <w:szCs w:val="21"/>
        </w:rPr>
        <w:t>. For example, in July, Bruno Lorenzon noted that a new automated system for payment voucher approvals and travel claims was being tested with select users before wider launch</w:t>
      </w:r>
      <w:hyperlink r:id="rId22" w:history="1">
        <w:r w:rsidRPr="002D0F2E">
          <w:rPr>
            <w:rFonts w:ascii="Segoe UI" w:hAnsi="Segoe UI" w:cs="Segoe UI"/>
            <w:color w:val="464FEB"/>
            <w:sz w:val="21"/>
            <w:szCs w:val="21"/>
          </w:rPr>
          <w:t>[6]</w:t>
        </w:r>
      </w:hyperlink>
      <w:r w:rsidRPr="002D0F2E">
        <w:rPr>
          <w:rFonts w:ascii="Segoe UI" w:hAnsi="Segoe UI" w:cs="Segoe UI"/>
          <w:sz w:val="21"/>
          <w:szCs w:val="21"/>
        </w:rPr>
        <w:t xml:space="preserve"> – part of the broader push for efficiency. This automation drive was a direct response to macroeconomic pressures: with cost inflation and a need to “do more with less,” Employee A’s team delivered tools that saved employee hours and reduced overhead. Moreover, these digital workflows created new data streams (on process durations, bottlenecks, etc.), further feeding TPC’s data-centric management approach.</w:t>
      </w:r>
    </w:p>
    <w:p w14:paraId="75942340" w14:textId="77777777" w:rsidR="002D0F2E" w:rsidRPr="002D0F2E" w:rsidRDefault="002D0F2E" w:rsidP="002D0F2E">
      <w:pPr>
        <w:numPr>
          <w:ilvl w:val="0"/>
          <w:numId w:val="5"/>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Enterprise Data Integration:</w:t>
      </w:r>
      <w:r w:rsidRPr="002D0F2E">
        <w:rPr>
          <w:rFonts w:ascii="Segoe UI" w:hAnsi="Segoe UI" w:cs="Segoe UI"/>
          <w:sz w:val="21"/>
          <w:szCs w:val="21"/>
        </w:rPr>
        <w:t xml:space="preserve"> A less tangible but critical contribution was Employee A’s insistence on treating </w:t>
      </w:r>
      <w:r w:rsidRPr="002D0F2E">
        <w:rPr>
          <w:rFonts w:ascii="Segoe UI" w:hAnsi="Segoe UI" w:cs="Segoe UI"/>
          <w:b/>
          <w:bCs/>
          <w:sz w:val="21"/>
          <w:szCs w:val="21"/>
        </w:rPr>
        <w:t>data as a strategic asset</w:t>
      </w:r>
      <w:r w:rsidRPr="002D0F2E">
        <w:rPr>
          <w:rFonts w:ascii="Segoe UI" w:hAnsi="Segoe UI" w:cs="Segoe UI"/>
          <w:sz w:val="21"/>
          <w:szCs w:val="21"/>
        </w:rPr>
        <w:t xml:space="preserve">. Recognizing that technology (especially AI) only yields value if fed with quality data, he urged TPC to break down data silos. </w:t>
      </w:r>
      <w:r w:rsidRPr="002D0F2E">
        <w:rPr>
          <w:rFonts w:ascii="Segoe UI" w:hAnsi="Segoe UI" w:cs="Segoe UI"/>
          <w:i/>
          <w:iCs/>
          <w:sz w:val="21"/>
          <w:szCs w:val="21"/>
        </w:rPr>
        <w:t>“Everyone needs to know that they hold data and this data needs to be shared…we need data policies to get that data to the central AI data foundation,”</w:t>
      </w:r>
      <w:r w:rsidRPr="002D0F2E">
        <w:rPr>
          <w:rFonts w:ascii="Segoe UI" w:hAnsi="Segoe UI" w:cs="Segoe UI"/>
          <w:sz w:val="21"/>
          <w:szCs w:val="21"/>
        </w:rPr>
        <w:t xml:space="preserve"> Employee A argued to colleagues</w:t>
      </w:r>
      <w:hyperlink r:id="rId23" w:history="1">
        <w:r w:rsidRPr="002D0F2E">
          <w:rPr>
            <w:rFonts w:ascii="Segoe UI" w:hAnsi="Segoe UI" w:cs="Segoe UI"/>
            <w:color w:val="464FEB"/>
            <w:sz w:val="21"/>
            <w:szCs w:val="21"/>
          </w:rPr>
          <w:t>[3]</w:t>
        </w:r>
      </w:hyperlink>
      <w:r w:rsidRPr="002D0F2E">
        <w:rPr>
          <w:rFonts w:ascii="Segoe UI" w:hAnsi="Segoe UI" w:cs="Segoe UI"/>
          <w:sz w:val="21"/>
          <w:szCs w:val="21"/>
        </w:rPr>
        <w:t>. This advocacy led TPC’s leadership to enact data governance measures in 2025: e.g. ensuring previously isolated units like CUEL (an engineering arm) and IMCZY (China operations) share their operational data with group IT</w:t>
      </w:r>
      <w:hyperlink r:id="rId24" w:history="1">
        <w:r w:rsidRPr="002D0F2E">
          <w:rPr>
            <w:rFonts w:ascii="Segoe UI" w:hAnsi="Segoe UI" w:cs="Segoe UI"/>
            <w:color w:val="464FEB"/>
            <w:sz w:val="21"/>
            <w:szCs w:val="21"/>
          </w:rPr>
          <w:t>[3]</w:t>
        </w:r>
      </w:hyperlink>
      <w:r w:rsidRPr="002D0F2E">
        <w:rPr>
          <w:rFonts w:ascii="Segoe UI" w:hAnsi="Segoe UI" w:cs="Segoe UI"/>
          <w:sz w:val="21"/>
          <w:szCs w:val="21"/>
        </w:rPr>
        <w:t xml:space="preserve">. By year’s end, TPC had established a central repository for key business data, which is the backbone for future analytics. While the full payoff of this integration will come in subsequent years, </w:t>
      </w:r>
      <w:r w:rsidRPr="002D0F2E">
        <w:rPr>
          <w:rFonts w:ascii="Segoe UI" w:hAnsi="Segoe UI" w:cs="Segoe UI"/>
          <w:b/>
          <w:bCs/>
          <w:sz w:val="21"/>
          <w:szCs w:val="21"/>
        </w:rPr>
        <w:t>immediate benefits</w:t>
      </w:r>
      <w:r w:rsidRPr="002D0F2E">
        <w:rPr>
          <w:rFonts w:ascii="Segoe UI" w:hAnsi="Segoe UI" w:cs="Segoe UI"/>
          <w:sz w:val="21"/>
          <w:szCs w:val="21"/>
        </w:rPr>
        <w:t xml:space="preserve"> included greater transparency (e.g. group finance could access country-level metrics in real-time) and a faster ability to generate insights across business lines. In short, Employee A embedded a forward-looking data strategy, aligning TPC with the broader macro environment where data-driven decision-making is increasingly the norm.</w:t>
      </w:r>
    </w:p>
    <w:p w14:paraId="4F1941C1"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Strategic Decision-Making:</w:t>
      </w:r>
      <w:r w:rsidRPr="002D0F2E">
        <w:rPr>
          <w:rFonts w:ascii="Segoe UI" w:hAnsi="Segoe UI" w:cs="Segoe UI"/>
          <w:sz w:val="21"/>
          <w:szCs w:val="21"/>
        </w:rPr>
        <w:t xml:space="preserve"> Throughout these tech initiatives, Employee A often acted as a </w:t>
      </w:r>
      <w:r w:rsidRPr="002D0F2E">
        <w:rPr>
          <w:rFonts w:ascii="Segoe UI" w:hAnsi="Segoe UI" w:cs="Segoe UI"/>
          <w:b/>
          <w:bCs/>
          <w:sz w:val="21"/>
          <w:szCs w:val="21"/>
        </w:rPr>
        <w:t>strategic thought leader</w:t>
      </w:r>
      <w:r w:rsidRPr="002D0F2E">
        <w:rPr>
          <w:rFonts w:ascii="Segoe UI" w:hAnsi="Segoe UI" w:cs="Segoe UI"/>
          <w:sz w:val="21"/>
          <w:szCs w:val="21"/>
        </w:rPr>
        <w:t xml:space="preserve">, not just an executor. He made the case that adopting these technologies was essential for TPC to remain competitive and resilient. For instance, his recommendation to incorporate AI in the performance review process (by </w:t>
      </w:r>
      <w:proofErr w:type="spellStart"/>
      <w:r w:rsidRPr="002D0F2E">
        <w:rPr>
          <w:rFonts w:ascii="Segoe UI" w:hAnsi="Segoe UI" w:cs="Segoe UI"/>
          <w:sz w:val="21"/>
          <w:szCs w:val="21"/>
        </w:rPr>
        <w:t>labeling</w:t>
      </w:r>
      <w:proofErr w:type="spellEnd"/>
      <w:r w:rsidRPr="002D0F2E">
        <w:rPr>
          <w:rFonts w:ascii="Segoe UI" w:hAnsi="Segoe UI" w:cs="Segoe UI"/>
          <w:sz w:val="21"/>
          <w:szCs w:val="21"/>
        </w:rPr>
        <w:t xml:space="preserve"> OKRs with impact areas for AI analysis) ensured that </w:t>
      </w:r>
      <w:r w:rsidRPr="002D0F2E">
        <w:rPr>
          <w:rFonts w:ascii="Segoe UI" w:hAnsi="Segoe UI" w:cs="Segoe UI"/>
          <w:b/>
          <w:bCs/>
          <w:sz w:val="21"/>
          <w:szCs w:val="21"/>
        </w:rPr>
        <w:t>TPC’s new OKR system was future-proofed for AI-driven insights</w:t>
      </w:r>
      <w:hyperlink r:id="rId25" w:history="1">
        <w:r w:rsidRPr="002D0F2E">
          <w:rPr>
            <w:rFonts w:ascii="Segoe UI" w:hAnsi="Segoe UI" w:cs="Segoe UI"/>
            <w:color w:val="464FEB"/>
            <w:sz w:val="21"/>
            <w:szCs w:val="21"/>
          </w:rPr>
          <w:t>[6]</w:t>
        </w:r>
      </w:hyperlink>
      <w:hyperlink r:id="rId26" w:history="1">
        <w:r w:rsidRPr="002D0F2E">
          <w:rPr>
            <w:rFonts w:ascii="Segoe UI" w:hAnsi="Segoe UI" w:cs="Segoe UI"/>
            <w:color w:val="464FEB"/>
            <w:sz w:val="21"/>
            <w:szCs w:val="21"/>
          </w:rPr>
          <w:t>[6]</w:t>
        </w:r>
      </w:hyperlink>
      <w:r w:rsidRPr="002D0F2E">
        <w:rPr>
          <w:rFonts w:ascii="Segoe UI" w:hAnsi="Segoe UI" w:cs="Segoe UI"/>
          <w:sz w:val="21"/>
          <w:szCs w:val="21"/>
        </w:rPr>
        <w:t xml:space="preserve">. Also, by persuading TPC to invest time in </w:t>
      </w:r>
      <w:proofErr w:type="spellStart"/>
      <w:r w:rsidRPr="002D0F2E">
        <w:rPr>
          <w:rFonts w:ascii="Segoe UI" w:hAnsi="Segoe UI" w:cs="Segoe UI"/>
          <w:sz w:val="21"/>
          <w:szCs w:val="21"/>
        </w:rPr>
        <w:t>TalentVerse</w:t>
      </w:r>
      <w:proofErr w:type="spellEnd"/>
      <w:r w:rsidRPr="002D0F2E">
        <w:rPr>
          <w:rFonts w:ascii="Segoe UI" w:hAnsi="Segoe UI" w:cs="Segoe UI"/>
          <w:sz w:val="21"/>
          <w:szCs w:val="21"/>
        </w:rPr>
        <w:t xml:space="preserve"> and AI coaching, Employee A effectively decided to </w:t>
      </w:r>
      <w:r w:rsidRPr="002D0F2E">
        <w:rPr>
          <w:rFonts w:ascii="Segoe UI" w:hAnsi="Segoe UI" w:cs="Segoe UI"/>
          <w:i/>
          <w:iCs/>
          <w:sz w:val="21"/>
          <w:szCs w:val="21"/>
        </w:rPr>
        <w:t>pre-empt</w:t>
      </w:r>
      <w:r w:rsidRPr="002D0F2E">
        <w:rPr>
          <w:rFonts w:ascii="Segoe UI" w:hAnsi="Segoe UI" w:cs="Segoe UI"/>
          <w:sz w:val="21"/>
          <w:szCs w:val="21"/>
        </w:rPr>
        <w:t xml:space="preserve"> a skill obsolescence problem – a visionary stance that would help TPC capitalize on the technological shift rather than be disrupted by it.</w:t>
      </w:r>
    </w:p>
    <w:p w14:paraId="16FC66DA" w14:textId="77777777" w:rsidR="002D0F2E" w:rsidRPr="002D0F2E" w:rsidRDefault="002D0F2E" w:rsidP="002D0F2E">
      <w:pPr>
        <w:spacing w:before="100" w:beforeAutospacing="1" w:after="100" w:afterAutospacing="1" w:line="300" w:lineRule="atLeast"/>
        <w:outlineLvl w:val="1"/>
        <w:rPr>
          <w:rFonts w:ascii="Segoe UI" w:hAnsi="Segoe UI" w:cs="Segoe UI"/>
          <w:b/>
          <w:bCs/>
          <w:sz w:val="36"/>
          <w:szCs w:val="36"/>
        </w:rPr>
      </w:pPr>
      <w:r w:rsidRPr="002D0F2E">
        <w:rPr>
          <w:rFonts w:ascii="Segoe UI" w:hAnsi="Segoe UI" w:cs="Segoe UI"/>
          <w:b/>
          <w:bCs/>
          <w:sz w:val="36"/>
          <w:szCs w:val="36"/>
        </w:rPr>
        <w:t>Cultivating New Mindsets and Capabilities</w:t>
      </w:r>
    </w:p>
    <w:p w14:paraId="6C027596"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Technology adoption alone isn’t enough; </w:t>
      </w:r>
      <w:r w:rsidRPr="002D0F2E">
        <w:rPr>
          <w:rFonts w:ascii="Segoe UI" w:hAnsi="Segoe UI" w:cs="Segoe UI"/>
          <w:b/>
          <w:bCs/>
          <w:sz w:val="21"/>
          <w:szCs w:val="21"/>
        </w:rPr>
        <w:t>organizational mindset and talent</w:t>
      </w:r>
      <w:r w:rsidRPr="002D0F2E">
        <w:rPr>
          <w:rFonts w:ascii="Segoe UI" w:hAnsi="Segoe UI" w:cs="Segoe UI"/>
          <w:sz w:val="21"/>
          <w:szCs w:val="21"/>
        </w:rPr>
        <w:t xml:space="preserve"> must evolve in tandem with macro trends. A major aspect of Employee A’s contribution was driving cultural and people-development initiatives so that TPC’s workforce could thrive amid change. In 2025 he implemented programs to embed the company’s </w:t>
      </w:r>
      <w:r w:rsidRPr="002D0F2E">
        <w:rPr>
          <w:rFonts w:ascii="Segoe UI" w:hAnsi="Segoe UI" w:cs="Segoe UI"/>
          <w:i/>
          <w:iCs/>
          <w:sz w:val="21"/>
          <w:szCs w:val="21"/>
        </w:rPr>
        <w:t>Well-Being Mandate</w:t>
      </w:r>
      <w:r w:rsidRPr="002D0F2E">
        <w:rPr>
          <w:rFonts w:ascii="Segoe UI" w:hAnsi="Segoe UI" w:cs="Segoe UI"/>
          <w:sz w:val="21"/>
          <w:szCs w:val="21"/>
        </w:rPr>
        <w:t xml:space="preserve"> and </w:t>
      </w:r>
      <w:r w:rsidRPr="002D0F2E">
        <w:rPr>
          <w:rFonts w:ascii="Segoe UI" w:hAnsi="Segoe UI" w:cs="Segoe UI"/>
          <w:i/>
          <w:iCs/>
          <w:sz w:val="21"/>
          <w:szCs w:val="21"/>
        </w:rPr>
        <w:t>Good Management Model</w:t>
      </w:r>
      <w:r w:rsidRPr="002D0F2E">
        <w:rPr>
          <w:rFonts w:ascii="Segoe UI" w:hAnsi="Segoe UI" w:cs="Segoe UI"/>
          <w:sz w:val="21"/>
          <w:szCs w:val="21"/>
        </w:rPr>
        <w:t xml:space="preserve"> into daily practice, while also instilling agility, innovation, and purpose alignment – all critical in a fast-changing macroeconomic landscape. Key efforts include:</w:t>
      </w:r>
    </w:p>
    <w:p w14:paraId="3565E4C4" w14:textId="77777777" w:rsidR="002D0F2E" w:rsidRPr="002D0F2E" w:rsidRDefault="002D0F2E" w:rsidP="002D0F2E">
      <w:pPr>
        <w:numPr>
          <w:ilvl w:val="0"/>
          <w:numId w:val="6"/>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Good Management Model &amp; Well-Being Culture:</w:t>
      </w:r>
      <w:r w:rsidRPr="002D0F2E">
        <w:rPr>
          <w:rFonts w:ascii="Segoe UI" w:hAnsi="Segoe UI" w:cs="Segoe UI"/>
          <w:sz w:val="21"/>
          <w:szCs w:val="21"/>
        </w:rPr>
        <w:t xml:space="preserve"> As co-lead of the transformation objective to </w:t>
      </w:r>
      <w:r w:rsidRPr="002D0F2E">
        <w:rPr>
          <w:rFonts w:ascii="Segoe UI" w:hAnsi="Segoe UI" w:cs="Segoe UI"/>
          <w:i/>
          <w:iCs/>
          <w:sz w:val="21"/>
          <w:szCs w:val="21"/>
        </w:rPr>
        <w:t>“</w:t>
      </w:r>
      <w:proofErr w:type="spellStart"/>
      <w:r w:rsidRPr="002D0F2E">
        <w:rPr>
          <w:rFonts w:ascii="Segoe UI" w:hAnsi="Segoe UI" w:cs="Segoe UI"/>
          <w:i/>
          <w:iCs/>
          <w:sz w:val="21"/>
          <w:szCs w:val="21"/>
        </w:rPr>
        <w:t>instill</w:t>
      </w:r>
      <w:proofErr w:type="spellEnd"/>
      <w:r w:rsidRPr="002D0F2E">
        <w:rPr>
          <w:rFonts w:ascii="Segoe UI" w:hAnsi="Segoe UI" w:cs="Segoe UI"/>
          <w:i/>
          <w:iCs/>
          <w:sz w:val="21"/>
          <w:szCs w:val="21"/>
        </w:rPr>
        <w:t xml:space="preserve"> and </w:t>
      </w:r>
      <w:proofErr w:type="spellStart"/>
      <w:r w:rsidRPr="002D0F2E">
        <w:rPr>
          <w:rFonts w:ascii="Segoe UI" w:hAnsi="Segoe UI" w:cs="Segoe UI"/>
          <w:i/>
          <w:iCs/>
          <w:sz w:val="21"/>
          <w:szCs w:val="21"/>
        </w:rPr>
        <w:t>distill</w:t>
      </w:r>
      <w:proofErr w:type="spellEnd"/>
      <w:r w:rsidRPr="002D0F2E">
        <w:rPr>
          <w:rFonts w:ascii="Segoe UI" w:hAnsi="Segoe UI" w:cs="Segoe UI"/>
          <w:i/>
          <w:iCs/>
          <w:sz w:val="21"/>
          <w:szCs w:val="21"/>
        </w:rPr>
        <w:t xml:space="preserve"> the Well-Being Mandate into TPC’s culture through the Good Management Model”</w:t>
      </w:r>
      <w:hyperlink r:id="rId27" w:history="1">
        <w:r w:rsidRPr="002D0F2E">
          <w:rPr>
            <w:rFonts w:ascii="Segoe UI" w:hAnsi="Segoe UI" w:cs="Segoe UI"/>
            <w:color w:val="464FEB"/>
            <w:sz w:val="21"/>
            <w:szCs w:val="21"/>
          </w:rPr>
          <w:t>[1]</w:t>
        </w:r>
      </w:hyperlink>
      <w:hyperlink r:id="rId28" w:history="1">
        <w:r w:rsidRPr="002D0F2E">
          <w:rPr>
            <w:rFonts w:ascii="Segoe UI" w:hAnsi="Segoe UI" w:cs="Segoe UI"/>
            <w:color w:val="464FEB"/>
            <w:sz w:val="21"/>
            <w:szCs w:val="21"/>
          </w:rPr>
          <w:t>[1]</w:t>
        </w:r>
      </w:hyperlink>
      <w:r w:rsidRPr="002D0F2E">
        <w:rPr>
          <w:rFonts w:ascii="Segoe UI" w:hAnsi="Segoe UI" w:cs="Segoe UI"/>
          <w:sz w:val="21"/>
          <w:szCs w:val="21"/>
        </w:rPr>
        <w:t xml:space="preserve">, Employee A ensured that high-level values translated into on-the-ground </w:t>
      </w:r>
      <w:proofErr w:type="spellStart"/>
      <w:r w:rsidRPr="002D0F2E">
        <w:rPr>
          <w:rFonts w:ascii="Segoe UI" w:hAnsi="Segoe UI" w:cs="Segoe UI"/>
          <w:sz w:val="21"/>
          <w:szCs w:val="21"/>
        </w:rPr>
        <w:t>behaviors</w:t>
      </w:r>
      <w:proofErr w:type="spellEnd"/>
      <w:r w:rsidRPr="002D0F2E">
        <w:rPr>
          <w:rFonts w:ascii="Segoe UI" w:hAnsi="Segoe UI" w:cs="Segoe UI"/>
          <w:sz w:val="21"/>
          <w:szCs w:val="21"/>
        </w:rPr>
        <w:t xml:space="preserve">. In early 2025, he helped facilitate the </w:t>
      </w:r>
      <w:r w:rsidRPr="002D0F2E">
        <w:rPr>
          <w:rFonts w:ascii="Segoe UI" w:hAnsi="Segoe UI" w:cs="Segoe UI"/>
          <w:i/>
          <w:iCs/>
          <w:sz w:val="21"/>
          <w:szCs w:val="21"/>
        </w:rPr>
        <w:t>Good Management Workshop (GMW)</w:t>
      </w:r>
      <w:r w:rsidRPr="002D0F2E">
        <w:rPr>
          <w:rFonts w:ascii="Segoe UI" w:hAnsi="Segoe UI" w:cs="Segoe UI"/>
          <w:sz w:val="21"/>
          <w:szCs w:val="21"/>
        </w:rPr>
        <w:t xml:space="preserve"> series, which reinforced desired mindsets (Awareness, Alignment, Collaboration, Co-creation) across senior management. He didn’t shy from linking these cultural principles to practical challenges – for example, formulating GMW breakout sessions on using the </w:t>
      </w:r>
      <w:r w:rsidRPr="002D0F2E">
        <w:rPr>
          <w:rFonts w:ascii="Segoe UI" w:hAnsi="Segoe UI" w:cs="Segoe UI"/>
          <w:b/>
          <w:bCs/>
          <w:sz w:val="21"/>
          <w:szCs w:val="21"/>
        </w:rPr>
        <w:t>Good Management Model to implement AI solutions</w:t>
      </w:r>
      <w:hyperlink r:id="rId29" w:history="1">
        <w:r w:rsidRPr="002D0F2E">
          <w:rPr>
            <w:rFonts w:ascii="Segoe UI" w:hAnsi="Segoe UI" w:cs="Segoe UI"/>
            <w:color w:val="464FEB"/>
            <w:sz w:val="21"/>
            <w:szCs w:val="21"/>
          </w:rPr>
          <w:t>[7]</w:t>
        </w:r>
      </w:hyperlink>
      <w:r w:rsidRPr="002D0F2E">
        <w:rPr>
          <w:rFonts w:ascii="Segoe UI" w:hAnsi="Segoe UI" w:cs="Segoe UI"/>
          <w:sz w:val="21"/>
          <w:szCs w:val="21"/>
        </w:rPr>
        <w:t xml:space="preserve">. This helped managers see that embracing new tech (AI) was actually part of being a “good manager” in today’s context. By keeping culture and tech intertwined, Employee A preserved TPC’s core values (like long-term stewardship and employee well-being) even as processes became more data-driven. One outcome by late 2025 was the widespread participation in the </w:t>
      </w:r>
      <w:r w:rsidRPr="002D0F2E">
        <w:rPr>
          <w:rFonts w:ascii="Segoe UI" w:hAnsi="Segoe UI" w:cs="Segoe UI"/>
          <w:b/>
          <w:bCs/>
          <w:sz w:val="21"/>
          <w:szCs w:val="21"/>
        </w:rPr>
        <w:t>360-degree feedback</w:t>
      </w:r>
      <w:r w:rsidRPr="002D0F2E">
        <w:rPr>
          <w:rFonts w:ascii="Segoe UI" w:hAnsi="Segoe UI" w:cs="Segoe UI"/>
          <w:sz w:val="21"/>
          <w:szCs w:val="21"/>
        </w:rPr>
        <w:t xml:space="preserve"> program. This exercise required a culture of trust and openness to critique; the fact that leaders across Singapore, Thailand, and Indonesia engaged with 360° reviews</w:t>
      </w:r>
      <w:hyperlink r:id="rId30" w:history="1">
        <w:r w:rsidRPr="002D0F2E">
          <w:rPr>
            <w:rFonts w:ascii="Segoe UI" w:hAnsi="Segoe UI" w:cs="Segoe UI"/>
            <w:color w:val="464FEB"/>
            <w:sz w:val="21"/>
            <w:szCs w:val="21"/>
          </w:rPr>
          <w:t>[2]</w:t>
        </w:r>
      </w:hyperlink>
      <w:hyperlink r:id="rId31" w:history="1">
        <w:r w:rsidRPr="002D0F2E">
          <w:rPr>
            <w:rFonts w:ascii="Segoe UI" w:hAnsi="Segoe UI" w:cs="Segoe UI"/>
            <w:color w:val="464FEB"/>
            <w:sz w:val="21"/>
            <w:szCs w:val="21"/>
          </w:rPr>
          <w:t>[2]</w:t>
        </w:r>
      </w:hyperlink>
      <w:r w:rsidRPr="002D0F2E">
        <w:rPr>
          <w:rFonts w:ascii="Segoe UI" w:hAnsi="Segoe UI" w:cs="Segoe UI"/>
          <w:sz w:val="21"/>
          <w:szCs w:val="21"/>
        </w:rPr>
        <w:t xml:space="preserve"> indicates that the Good Management Model – which encourages continuous learning and humility – is taking root. Employee A arranged for professional coaches to support leaders in interpreting their 360 feedback</w:t>
      </w:r>
      <w:hyperlink r:id="rId32" w:history="1">
        <w:r w:rsidRPr="002D0F2E">
          <w:rPr>
            <w:rFonts w:ascii="Segoe UI" w:hAnsi="Segoe UI" w:cs="Segoe UI"/>
            <w:color w:val="464FEB"/>
            <w:sz w:val="21"/>
            <w:szCs w:val="21"/>
          </w:rPr>
          <w:t>[5]</w:t>
        </w:r>
      </w:hyperlink>
      <w:r w:rsidRPr="002D0F2E">
        <w:rPr>
          <w:rFonts w:ascii="Segoe UI" w:hAnsi="Segoe UI" w:cs="Segoe UI"/>
          <w:sz w:val="21"/>
          <w:szCs w:val="21"/>
        </w:rPr>
        <w:t xml:space="preserve">, further reinforcing a growth mindset. The introduction of these feedback loops and coaching processes demonstrates a </w:t>
      </w:r>
      <w:r w:rsidRPr="002D0F2E">
        <w:rPr>
          <w:rFonts w:ascii="Segoe UI" w:hAnsi="Segoe UI" w:cs="Segoe UI"/>
          <w:b/>
          <w:bCs/>
          <w:sz w:val="21"/>
          <w:szCs w:val="21"/>
        </w:rPr>
        <w:t>cultural transformation</w:t>
      </w:r>
      <w:r w:rsidRPr="002D0F2E">
        <w:rPr>
          <w:rFonts w:ascii="Segoe UI" w:hAnsi="Segoe UI" w:cs="Segoe UI"/>
          <w:sz w:val="21"/>
          <w:szCs w:val="21"/>
        </w:rPr>
        <w:t>: TPC’s leadership is becoming more self-aware and aligned with the company’s well-being and performance ethos.</w:t>
      </w:r>
    </w:p>
    <w:p w14:paraId="210614FD" w14:textId="77777777" w:rsidR="002D0F2E" w:rsidRPr="002D0F2E" w:rsidRDefault="002D0F2E" w:rsidP="002D0F2E">
      <w:pPr>
        <w:numPr>
          <w:ilvl w:val="0"/>
          <w:numId w:val="6"/>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Quantum Leadership &amp; Mindful Leadership Programs:</w:t>
      </w:r>
      <w:r w:rsidRPr="002D0F2E">
        <w:rPr>
          <w:rFonts w:ascii="Segoe UI" w:hAnsi="Segoe UI" w:cs="Segoe UI"/>
          <w:sz w:val="21"/>
          <w:szCs w:val="21"/>
        </w:rPr>
        <w:t xml:space="preserve"> To navigate a volatile macro environment (post-pandemic shifts, geopolitical uncertainties, etc.), Employee A launched innovative </w:t>
      </w:r>
      <w:r w:rsidRPr="002D0F2E">
        <w:rPr>
          <w:rFonts w:ascii="Segoe UI" w:hAnsi="Segoe UI" w:cs="Segoe UI"/>
          <w:b/>
          <w:bCs/>
          <w:sz w:val="21"/>
          <w:szCs w:val="21"/>
        </w:rPr>
        <w:t>leadership development programs</w:t>
      </w:r>
      <w:r w:rsidRPr="002D0F2E">
        <w:rPr>
          <w:rFonts w:ascii="Segoe UI" w:hAnsi="Segoe UI" w:cs="Segoe UI"/>
          <w:sz w:val="21"/>
          <w:szCs w:val="21"/>
        </w:rPr>
        <w:t xml:space="preserve">. The </w:t>
      </w:r>
      <w:r w:rsidRPr="002D0F2E">
        <w:rPr>
          <w:rFonts w:ascii="Segoe UI" w:hAnsi="Segoe UI" w:cs="Segoe UI"/>
          <w:b/>
          <w:bCs/>
          <w:sz w:val="21"/>
          <w:szCs w:val="21"/>
        </w:rPr>
        <w:t>Quantum Leadership Framing Program (QLFP)</w:t>
      </w:r>
      <w:r w:rsidRPr="002D0F2E">
        <w:rPr>
          <w:rFonts w:ascii="Segoe UI" w:hAnsi="Segoe UI" w:cs="Segoe UI"/>
          <w:sz w:val="21"/>
          <w:szCs w:val="21"/>
        </w:rPr>
        <w:t xml:space="preserve"> was a flagship offering in 2025. It educated TPC executives on complexity science concepts and new paradigms of leadership suited for a “BANI” world (Brittle, Anxious, Nonlinear, Incomprehensible)</w:t>
      </w:r>
      <w:hyperlink r:id="rId33" w:history="1">
        <w:r w:rsidRPr="002D0F2E">
          <w:rPr>
            <w:rFonts w:ascii="Segoe UI" w:hAnsi="Segoe UI" w:cs="Segoe UI"/>
            <w:color w:val="464FEB"/>
            <w:sz w:val="21"/>
            <w:szCs w:val="21"/>
          </w:rPr>
          <w:t>[8]</w:t>
        </w:r>
      </w:hyperlink>
      <w:hyperlink r:id="rId34" w:history="1">
        <w:r w:rsidRPr="002D0F2E">
          <w:rPr>
            <w:rFonts w:ascii="Segoe UI" w:hAnsi="Segoe UI" w:cs="Segoe UI"/>
            <w:color w:val="464FEB"/>
            <w:sz w:val="21"/>
            <w:szCs w:val="21"/>
          </w:rPr>
          <w:t>[8]</w:t>
        </w:r>
      </w:hyperlink>
      <w:r w:rsidRPr="002D0F2E">
        <w:rPr>
          <w:rFonts w:ascii="Segoe UI" w:hAnsi="Segoe UI" w:cs="Segoe UI"/>
          <w:sz w:val="21"/>
          <w:szCs w:val="21"/>
        </w:rPr>
        <w:t xml:space="preserve">. Spread over three months, the QLFP combined digital and in-person elements, including panel discussions with the Chairman </w:t>
      </w:r>
      <w:hyperlink r:id="rId35" w:history="1">
        <w:r w:rsidRPr="002D0F2E">
          <w:rPr>
            <w:rFonts w:ascii="Segoe UI" w:hAnsi="Segoe UI" w:cs="Segoe UI"/>
            <w:color w:val="464FEB"/>
            <w:sz w:val="21"/>
            <w:szCs w:val="21"/>
          </w:rPr>
          <w:t>Chavalit Tsao</w:t>
        </w:r>
      </w:hyperlink>
      <w:r w:rsidRPr="002D0F2E">
        <w:rPr>
          <w:rFonts w:ascii="Segoe UI" w:hAnsi="Segoe UI" w:cs="Segoe UI"/>
          <w:sz w:val="21"/>
          <w:szCs w:val="21"/>
        </w:rPr>
        <w:t xml:space="preserve"> and cross-functional projects</w:t>
      </w:r>
      <w:hyperlink r:id="rId36" w:history="1">
        <w:r w:rsidRPr="002D0F2E">
          <w:rPr>
            <w:rFonts w:ascii="Segoe UI" w:hAnsi="Segoe UI" w:cs="Segoe UI"/>
            <w:color w:val="464FEB"/>
            <w:sz w:val="21"/>
            <w:szCs w:val="21"/>
          </w:rPr>
          <w:t>[1]</w:t>
        </w:r>
      </w:hyperlink>
      <w:hyperlink r:id="rId37" w:history="1">
        <w:r w:rsidRPr="002D0F2E">
          <w:rPr>
            <w:rFonts w:ascii="Segoe UI" w:hAnsi="Segoe UI" w:cs="Segoe UI"/>
            <w:color w:val="464FEB"/>
            <w:sz w:val="21"/>
            <w:szCs w:val="21"/>
          </w:rPr>
          <w:t>[1]</w:t>
        </w:r>
      </w:hyperlink>
      <w:r w:rsidRPr="002D0F2E">
        <w:rPr>
          <w:rFonts w:ascii="Segoe UI" w:hAnsi="Segoe UI" w:cs="Segoe UI"/>
          <w:sz w:val="21"/>
          <w:szCs w:val="21"/>
        </w:rPr>
        <w:t>. Employee A’s hands-on involvement – from content design (he co-authored the program materials</w:t>
      </w:r>
      <w:hyperlink r:id="rId38" w:history="1">
        <w:r w:rsidRPr="002D0F2E">
          <w:rPr>
            <w:rFonts w:ascii="Segoe UI" w:hAnsi="Segoe UI" w:cs="Segoe UI"/>
            <w:color w:val="464FEB"/>
            <w:sz w:val="21"/>
            <w:szCs w:val="21"/>
          </w:rPr>
          <w:t>[8]</w:t>
        </w:r>
      </w:hyperlink>
      <w:r w:rsidRPr="002D0F2E">
        <w:rPr>
          <w:rFonts w:ascii="Segoe UI" w:hAnsi="Segoe UI" w:cs="Segoe UI"/>
          <w:sz w:val="21"/>
          <w:szCs w:val="21"/>
        </w:rPr>
        <w:t xml:space="preserve">) to delivering sessions – ensured the program’s success. By July 31, 2025, the first cohort had completed QLFP and held a </w:t>
      </w:r>
      <w:r w:rsidRPr="002D0F2E">
        <w:rPr>
          <w:rFonts w:ascii="Segoe UI" w:hAnsi="Segoe UI" w:cs="Segoe UI"/>
          <w:b/>
          <w:bCs/>
          <w:sz w:val="21"/>
          <w:szCs w:val="21"/>
        </w:rPr>
        <w:t>closing panel discussion</w:t>
      </w:r>
      <w:r w:rsidRPr="002D0F2E">
        <w:rPr>
          <w:rFonts w:ascii="Segoe UI" w:hAnsi="Segoe UI" w:cs="Segoe UI"/>
          <w:sz w:val="21"/>
          <w:szCs w:val="21"/>
        </w:rPr>
        <w:t xml:space="preserve"> to share learnings</w:t>
      </w:r>
      <w:hyperlink r:id="rId39" w:history="1">
        <w:r w:rsidRPr="002D0F2E">
          <w:rPr>
            <w:rFonts w:ascii="Segoe UI" w:hAnsi="Segoe UI" w:cs="Segoe UI"/>
            <w:color w:val="464FEB"/>
            <w:sz w:val="21"/>
            <w:szCs w:val="21"/>
          </w:rPr>
          <w:t>[4]</w:t>
        </w:r>
      </w:hyperlink>
      <w:r w:rsidRPr="002D0F2E">
        <w:rPr>
          <w:rFonts w:ascii="Segoe UI" w:hAnsi="Segoe UI" w:cs="Segoe UI"/>
          <w:sz w:val="21"/>
          <w:szCs w:val="21"/>
        </w:rPr>
        <w:t xml:space="preserve">. Participants emerged with a stronger ability to connect macro trends (e.g. climate change, AI ethics) with TPC’s strategy, and to make decisions under uncertainty. In parallel, Employee A continued to support the </w:t>
      </w:r>
      <w:r w:rsidRPr="002D0F2E">
        <w:rPr>
          <w:rFonts w:ascii="Segoe UI" w:hAnsi="Segoe UI" w:cs="Segoe UI"/>
          <w:b/>
          <w:bCs/>
          <w:sz w:val="21"/>
          <w:szCs w:val="21"/>
        </w:rPr>
        <w:t>Mindful Leadership Program (MLP)</w:t>
      </w:r>
      <w:r w:rsidRPr="002D0F2E">
        <w:rPr>
          <w:rFonts w:ascii="Segoe UI" w:hAnsi="Segoe UI" w:cs="Segoe UI"/>
          <w:sz w:val="21"/>
          <w:szCs w:val="21"/>
        </w:rPr>
        <w:t>, a transformative experience built around well-being and personal mastery. In March, he congratulated a group of staff who finished the intensive MLP (which included a one-month immersion in the Kalimantan jungle as designed by the Chairman)</w:t>
      </w:r>
      <w:hyperlink r:id="rId40" w:history="1">
        <w:r w:rsidRPr="002D0F2E">
          <w:rPr>
            <w:rFonts w:ascii="Segoe UI" w:hAnsi="Segoe UI" w:cs="Segoe UI"/>
            <w:color w:val="464FEB"/>
            <w:sz w:val="21"/>
            <w:szCs w:val="21"/>
          </w:rPr>
          <w:t>[1]</w:t>
        </w:r>
      </w:hyperlink>
      <w:r w:rsidRPr="002D0F2E">
        <w:rPr>
          <w:rFonts w:ascii="Segoe UI" w:hAnsi="Segoe UI" w:cs="Segoe UI"/>
          <w:sz w:val="21"/>
          <w:szCs w:val="21"/>
        </w:rPr>
        <w:t>. This program was part of TPC’s well-being mandate, aiming to build resilient leaders grounded in purpose. The impact of MLP was evident when these graduates took on coaching roles for others: by mid-year, MLP alumni were running a “Journey On” series of 12 sessions for newer participants</w:t>
      </w:r>
      <w:hyperlink r:id="rId41" w:history="1">
        <w:r w:rsidRPr="002D0F2E">
          <w:rPr>
            <w:rFonts w:ascii="Segoe UI" w:hAnsi="Segoe UI" w:cs="Segoe UI"/>
            <w:color w:val="464FEB"/>
            <w:sz w:val="21"/>
            <w:szCs w:val="21"/>
          </w:rPr>
          <w:t>[4]</w:t>
        </w:r>
      </w:hyperlink>
      <w:hyperlink r:id="rId42" w:history="1">
        <w:r w:rsidRPr="002D0F2E">
          <w:rPr>
            <w:rFonts w:ascii="Segoe UI" w:hAnsi="Segoe UI" w:cs="Segoe UI"/>
            <w:color w:val="464FEB"/>
            <w:sz w:val="21"/>
            <w:szCs w:val="21"/>
          </w:rPr>
          <w:t>[4]</w:t>
        </w:r>
      </w:hyperlink>
      <w:r w:rsidRPr="002D0F2E">
        <w:rPr>
          <w:rFonts w:ascii="Segoe UI" w:hAnsi="Segoe UI" w:cs="Segoe UI"/>
          <w:sz w:val="21"/>
          <w:szCs w:val="21"/>
        </w:rPr>
        <w:t xml:space="preserve">. Under Employee A’s coordination, such peer-led knowledge sharing became commonplace, strengthening leadership pipelines. </w:t>
      </w:r>
      <w:r w:rsidRPr="002D0F2E">
        <w:rPr>
          <w:rFonts w:ascii="Segoe UI" w:hAnsi="Segoe UI" w:cs="Segoe UI"/>
          <w:b/>
          <w:bCs/>
          <w:sz w:val="21"/>
          <w:szCs w:val="21"/>
        </w:rPr>
        <w:t>Outcome:</w:t>
      </w:r>
      <w:r w:rsidRPr="002D0F2E">
        <w:rPr>
          <w:rFonts w:ascii="Segoe UI" w:hAnsi="Segoe UI" w:cs="Segoe UI"/>
          <w:sz w:val="21"/>
          <w:szCs w:val="21"/>
        </w:rPr>
        <w:t xml:space="preserve"> By end of 2025, TPC had ~50 leaders (spanning top management and next-tier talent) who had undergone either QLFP or MLP. This created a critical mass of change agents within the company – executives who are comfortable with both </w:t>
      </w:r>
      <w:r w:rsidRPr="002D0F2E">
        <w:rPr>
          <w:rFonts w:ascii="Segoe UI" w:hAnsi="Segoe UI" w:cs="Segoe UI"/>
          <w:i/>
          <w:iCs/>
          <w:sz w:val="21"/>
          <w:szCs w:val="21"/>
        </w:rPr>
        <w:t>business innovation</w:t>
      </w:r>
      <w:r w:rsidRPr="002D0F2E">
        <w:rPr>
          <w:rFonts w:ascii="Segoe UI" w:hAnsi="Segoe UI" w:cs="Segoe UI"/>
          <w:sz w:val="21"/>
          <w:szCs w:val="21"/>
        </w:rPr>
        <w:t xml:space="preserve"> and </w:t>
      </w:r>
      <w:r w:rsidRPr="002D0F2E">
        <w:rPr>
          <w:rFonts w:ascii="Segoe UI" w:hAnsi="Segoe UI" w:cs="Segoe UI"/>
          <w:i/>
          <w:iCs/>
          <w:sz w:val="21"/>
          <w:szCs w:val="21"/>
        </w:rPr>
        <w:t>mindful governance</w:t>
      </w:r>
      <w:r w:rsidRPr="002D0F2E">
        <w:rPr>
          <w:rFonts w:ascii="Segoe UI" w:hAnsi="Segoe UI" w:cs="Segoe UI"/>
          <w:sz w:val="21"/>
          <w:szCs w:val="21"/>
        </w:rPr>
        <w:t>. Their presence is a competitive asset in a macro environment where leadership quality often differentiates winners.</w:t>
      </w:r>
    </w:p>
    <w:p w14:paraId="015FE2F7" w14:textId="77777777" w:rsidR="002D0F2E" w:rsidRPr="002D0F2E" w:rsidRDefault="002D0F2E" w:rsidP="002D0F2E">
      <w:pPr>
        <w:numPr>
          <w:ilvl w:val="0"/>
          <w:numId w:val="6"/>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Enterprise OKR Alignment and Training:</w:t>
      </w:r>
      <w:r w:rsidRPr="002D0F2E">
        <w:rPr>
          <w:rFonts w:ascii="Segoe UI" w:hAnsi="Segoe UI" w:cs="Segoe UI"/>
          <w:sz w:val="21"/>
          <w:szCs w:val="21"/>
        </w:rPr>
        <w:t xml:space="preserve"> A more structural capability Employee A instilled was rigor in </w:t>
      </w:r>
      <w:r w:rsidRPr="002D0F2E">
        <w:rPr>
          <w:rFonts w:ascii="Segoe UI" w:hAnsi="Segoe UI" w:cs="Segoe UI"/>
          <w:b/>
          <w:bCs/>
          <w:sz w:val="21"/>
          <w:szCs w:val="21"/>
        </w:rPr>
        <w:t>strategy execution</w:t>
      </w:r>
      <w:r w:rsidRPr="002D0F2E">
        <w:rPr>
          <w:rFonts w:ascii="Segoe UI" w:hAnsi="Segoe UI" w:cs="Segoe UI"/>
          <w:sz w:val="21"/>
          <w:szCs w:val="21"/>
        </w:rPr>
        <w:t xml:space="preserve"> through OKRs. Following the establishment of new transformation OKRs in Q1, Employee A oversaw training sessions to cascade OKRs to every business and function</w:t>
      </w:r>
      <w:hyperlink r:id="rId43" w:history="1">
        <w:r w:rsidRPr="002D0F2E">
          <w:rPr>
            <w:rFonts w:ascii="Segoe UI" w:hAnsi="Segoe UI" w:cs="Segoe UI"/>
            <w:color w:val="464FEB"/>
            <w:sz w:val="21"/>
            <w:szCs w:val="21"/>
          </w:rPr>
          <w:t>[9]</w:t>
        </w:r>
      </w:hyperlink>
      <w:hyperlink r:id="rId44" w:history="1">
        <w:r w:rsidRPr="002D0F2E">
          <w:rPr>
            <w:rFonts w:ascii="Segoe UI" w:hAnsi="Segoe UI" w:cs="Segoe UI"/>
            <w:color w:val="464FEB"/>
            <w:sz w:val="21"/>
            <w:szCs w:val="21"/>
          </w:rPr>
          <w:t>[9]</w:t>
        </w:r>
      </w:hyperlink>
      <w:r w:rsidRPr="002D0F2E">
        <w:rPr>
          <w:rFonts w:ascii="Segoe UI" w:hAnsi="Segoe UI" w:cs="Segoe UI"/>
          <w:sz w:val="21"/>
          <w:szCs w:val="21"/>
        </w:rPr>
        <w:t>. He and a colleague from Octave (Natasha) facilitated workshops helping teams draft meaningful OKRs, ensuring even country offices and support units set targets linked to the macro strategic pillars</w:t>
      </w:r>
      <w:hyperlink r:id="rId45" w:history="1">
        <w:r w:rsidRPr="002D0F2E">
          <w:rPr>
            <w:rFonts w:ascii="Segoe UI" w:hAnsi="Segoe UI" w:cs="Segoe UI"/>
            <w:color w:val="464FEB"/>
            <w:sz w:val="21"/>
            <w:szCs w:val="21"/>
          </w:rPr>
          <w:t>[9]</w:t>
        </w:r>
      </w:hyperlink>
      <w:hyperlink r:id="rId46" w:history="1">
        <w:r w:rsidRPr="002D0F2E">
          <w:rPr>
            <w:rFonts w:ascii="Segoe UI" w:hAnsi="Segoe UI" w:cs="Segoe UI"/>
            <w:color w:val="464FEB"/>
            <w:sz w:val="21"/>
            <w:szCs w:val="21"/>
          </w:rPr>
          <w:t>[9]</w:t>
        </w:r>
      </w:hyperlink>
      <w:r w:rsidRPr="002D0F2E">
        <w:rPr>
          <w:rFonts w:ascii="Segoe UI" w:hAnsi="Segoe UI" w:cs="Segoe UI"/>
          <w:sz w:val="21"/>
          <w:szCs w:val="21"/>
        </w:rPr>
        <w:t>. By June, this effort paid off – all corporate departments and most business units had their 2025 OKRs finalized in the system, barring a few late submissions</w:t>
      </w:r>
      <w:hyperlink r:id="rId47" w:history="1">
        <w:r w:rsidRPr="002D0F2E">
          <w:rPr>
            <w:rFonts w:ascii="Segoe UI" w:hAnsi="Segoe UI" w:cs="Segoe UI"/>
            <w:color w:val="464FEB"/>
            <w:sz w:val="21"/>
            <w:szCs w:val="21"/>
          </w:rPr>
          <w:t>[10]</w:t>
        </w:r>
      </w:hyperlink>
      <w:hyperlink r:id="rId48" w:history="1">
        <w:r w:rsidRPr="002D0F2E">
          <w:rPr>
            <w:rFonts w:ascii="Segoe UI" w:hAnsi="Segoe UI" w:cs="Segoe UI"/>
            <w:color w:val="464FEB"/>
            <w:sz w:val="21"/>
            <w:szCs w:val="21"/>
          </w:rPr>
          <w:t>[10]</w:t>
        </w:r>
      </w:hyperlink>
      <w:r w:rsidRPr="002D0F2E">
        <w:rPr>
          <w:rFonts w:ascii="Segoe UI" w:hAnsi="Segoe UI" w:cs="Segoe UI"/>
          <w:sz w:val="21"/>
          <w:szCs w:val="21"/>
        </w:rPr>
        <w:t xml:space="preserve">. This was a marked improvement from previous years and meant that by Q3, </w:t>
      </w:r>
      <w:r w:rsidRPr="002D0F2E">
        <w:rPr>
          <w:rFonts w:ascii="Segoe UI" w:hAnsi="Segoe UI" w:cs="Segoe UI"/>
          <w:b/>
          <w:bCs/>
          <w:sz w:val="21"/>
          <w:szCs w:val="21"/>
        </w:rPr>
        <w:t>TPC had a single, transparent view of goals and progress</w:t>
      </w:r>
      <w:r w:rsidRPr="002D0F2E">
        <w:rPr>
          <w:rFonts w:ascii="Segoe UI" w:hAnsi="Segoe UI" w:cs="Segoe UI"/>
          <w:sz w:val="21"/>
          <w:szCs w:val="21"/>
        </w:rPr>
        <w:t xml:space="preserve">. Employee A also built feedback loops into this process: he reminded teams to tag each OKR with TPC’s </w:t>
      </w:r>
      <w:r w:rsidRPr="002D0F2E">
        <w:rPr>
          <w:rFonts w:ascii="Segoe UI" w:hAnsi="Segoe UI" w:cs="Segoe UI"/>
          <w:i/>
          <w:iCs/>
          <w:sz w:val="21"/>
          <w:szCs w:val="21"/>
        </w:rPr>
        <w:t>4 impact areas and 6 strategic pillars</w:t>
      </w:r>
      <w:r w:rsidRPr="002D0F2E">
        <w:rPr>
          <w:rFonts w:ascii="Segoe UI" w:hAnsi="Segoe UI" w:cs="Segoe UI"/>
          <w:sz w:val="21"/>
          <w:szCs w:val="21"/>
        </w:rPr>
        <w:t xml:space="preserve"> so that AI tools (within Profit.co or external) could later </w:t>
      </w:r>
      <w:proofErr w:type="spellStart"/>
      <w:r w:rsidRPr="002D0F2E">
        <w:rPr>
          <w:rFonts w:ascii="Segoe UI" w:hAnsi="Segoe UI" w:cs="Segoe UI"/>
          <w:sz w:val="21"/>
          <w:szCs w:val="21"/>
        </w:rPr>
        <w:t>analyze</w:t>
      </w:r>
      <w:proofErr w:type="spellEnd"/>
      <w:r w:rsidRPr="002D0F2E">
        <w:rPr>
          <w:rFonts w:ascii="Segoe UI" w:hAnsi="Segoe UI" w:cs="Segoe UI"/>
          <w:sz w:val="21"/>
          <w:szCs w:val="21"/>
        </w:rPr>
        <w:t xml:space="preserve"> alignment and highlight gaps</w:t>
      </w:r>
      <w:hyperlink r:id="rId49" w:history="1">
        <w:r w:rsidRPr="002D0F2E">
          <w:rPr>
            <w:rFonts w:ascii="Segoe UI" w:hAnsi="Segoe UI" w:cs="Segoe UI"/>
            <w:color w:val="464FEB"/>
            <w:sz w:val="21"/>
            <w:szCs w:val="21"/>
          </w:rPr>
          <w:t>[6]</w:t>
        </w:r>
      </w:hyperlink>
      <w:hyperlink r:id="rId50" w:history="1">
        <w:r w:rsidRPr="002D0F2E">
          <w:rPr>
            <w:rFonts w:ascii="Segoe UI" w:hAnsi="Segoe UI" w:cs="Segoe UI"/>
            <w:color w:val="464FEB"/>
            <w:sz w:val="21"/>
            <w:szCs w:val="21"/>
          </w:rPr>
          <w:t>[6]</w:t>
        </w:r>
      </w:hyperlink>
      <w:r w:rsidRPr="002D0F2E">
        <w:rPr>
          <w:rFonts w:ascii="Segoe UI" w:hAnsi="Segoe UI" w:cs="Segoe UI"/>
          <w:sz w:val="21"/>
          <w:szCs w:val="21"/>
        </w:rPr>
        <w:t>. This forward-thinking step essentially trained employees in how to work with AI in planning. The measurable outcome was near-100% OKR adoption across the organization (by July only the shipyard unit’s OKRs were pending entry</w:t>
      </w:r>
      <w:hyperlink r:id="rId51" w:history="1">
        <w:r w:rsidRPr="002D0F2E">
          <w:rPr>
            <w:rFonts w:ascii="Segoe UI" w:hAnsi="Segoe UI" w:cs="Segoe UI"/>
            <w:color w:val="464FEB"/>
            <w:sz w:val="21"/>
            <w:szCs w:val="21"/>
          </w:rPr>
          <w:t>[11]</w:t>
        </w:r>
      </w:hyperlink>
      <w:r w:rsidRPr="002D0F2E">
        <w:rPr>
          <w:rFonts w:ascii="Segoe UI" w:hAnsi="Segoe UI" w:cs="Segoe UI"/>
          <w:sz w:val="21"/>
          <w:szCs w:val="21"/>
        </w:rPr>
        <w:t xml:space="preserve">), creating clarity and agility. When macroeconomic or competitive shifts occurred, TPC could rapidly adjust OKRs knowing everyone was on the same page. Employee A’s role in </w:t>
      </w:r>
      <w:r w:rsidRPr="002D0F2E">
        <w:rPr>
          <w:rFonts w:ascii="Segoe UI" w:hAnsi="Segoe UI" w:cs="Segoe UI"/>
          <w:b/>
          <w:bCs/>
          <w:sz w:val="21"/>
          <w:szCs w:val="21"/>
        </w:rPr>
        <w:t>institutionalizing OKRs</w:t>
      </w:r>
      <w:r w:rsidRPr="002D0F2E">
        <w:rPr>
          <w:rFonts w:ascii="Segoe UI" w:hAnsi="Segoe UI" w:cs="Segoe UI"/>
          <w:sz w:val="21"/>
          <w:szCs w:val="21"/>
        </w:rPr>
        <w:t xml:space="preserve"> thus reinforced a culture of accountability and adaptability.</w:t>
      </w:r>
    </w:p>
    <w:p w14:paraId="5692C1EB" w14:textId="77777777" w:rsidR="002D0F2E" w:rsidRPr="002D0F2E" w:rsidRDefault="002D0F2E" w:rsidP="002D0F2E">
      <w:pPr>
        <w:numPr>
          <w:ilvl w:val="0"/>
          <w:numId w:val="6"/>
        </w:num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360° Feedback and Coaching Culture:</w:t>
      </w:r>
      <w:r w:rsidRPr="002D0F2E">
        <w:rPr>
          <w:rFonts w:ascii="Segoe UI" w:hAnsi="Segoe UI" w:cs="Segoe UI"/>
          <w:sz w:val="21"/>
          <w:szCs w:val="21"/>
        </w:rPr>
        <w:t xml:space="preserve"> As described earlier, Employee A led the introduction of 360-degree feedback for leaders – a first for TPC. This initiative in late 2025 had dual significance: (1) It provided leaders with holistic input (peer, subordinate, self) to broaden their awareness – crucial for personal development amid new challenges. (2) It </w:t>
      </w:r>
      <w:proofErr w:type="spellStart"/>
      <w:r w:rsidRPr="002D0F2E">
        <w:rPr>
          <w:rFonts w:ascii="Segoe UI" w:hAnsi="Segoe UI" w:cs="Segoe UI"/>
          <w:sz w:val="21"/>
          <w:szCs w:val="21"/>
        </w:rPr>
        <w:t>signaled</w:t>
      </w:r>
      <w:proofErr w:type="spellEnd"/>
      <w:r w:rsidRPr="002D0F2E">
        <w:rPr>
          <w:rFonts w:ascii="Segoe UI" w:hAnsi="Segoe UI" w:cs="Segoe UI"/>
          <w:sz w:val="21"/>
          <w:szCs w:val="21"/>
        </w:rPr>
        <w:t xml:space="preserve"> a culture shift toward </w:t>
      </w:r>
      <w:r w:rsidRPr="002D0F2E">
        <w:rPr>
          <w:rFonts w:ascii="Segoe UI" w:hAnsi="Segoe UI" w:cs="Segoe UI"/>
          <w:b/>
          <w:bCs/>
          <w:sz w:val="21"/>
          <w:szCs w:val="21"/>
        </w:rPr>
        <w:t>openness and continuous improvement</w:t>
      </w:r>
      <w:r w:rsidRPr="002D0F2E">
        <w:rPr>
          <w:rFonts w:ascii="Segoe UI" w:hAnsi="Segoe UI" w:cs="Segoe UI"/>
          <w:sz w:val="21"/>
          <w:szCs w:val="21"/>
        </w:rPr>
        <w:t xml:space="preserve">. Employee A ensured the process was developmental, not punitive: results were kept confidential to the individuals, and </w:t>
      </w:r>
      <w:r w:rsidRPr="002D0F2E">
        <w:rPr>
          <w:rFonts w:ascii="Segoe UI" w:hAnsi="Segoe UI" w:cs="Segoe UI"/>
          <w:b/>
          <w:bCs/>
          <w:sz w:val="21"/>
          <w:szCs w:val="21"/>
        </w:rPr>
        <w:t>executive coaches were assigned</w:t>
      </w:r>
      <w:r w:rsidRPr="002D0F2E">
        <w:rPr>
          <w:rFonts w:ascii="Segoe UI" w:hAnsi="Segoe UI" w:cs="Segoe UI"/>
          <w:sz w:val="21"/>
          <w:szCs w:val="21"/>
        </w:rPr>
        <w:t xml:space="preserve"> to debrief and help craft action plans</w:t>
      </w:r>
      <w:hyperlink r:id="rId52" w:history="1">
        <w:r w:rsidRPr="002D0F2E">
          <w:rPr>
            <w:rFonts w:ascii="Segoe UI" w:hAnsi="Segoe UI" w:cs="Segoe UI"/>
            <w:color w:val="464FEB"/>
            <w:sz w:val="21"/>
            <w:szCs w:val="21"/>
          </w:rPr>
          <w:t>[5]</w:t>
        </w:r>
      </w:hyperlink>
      <w:r w:rsidRPr="002D0F2E">
        <w:rPr>
          <w:rFonts w:ascii="Segoe UI" w:hAnsi="Segoe UI" w:cs="Segoe UI"/>
          <w:sz w:val="21"/>
          <w:szCs w:val="21"/>
        </w:rPr>
        <w:t xml:space="preserve">. By December, each senior leader had a customized development plan informed by 360 feedback. The company reported that many leaders found the process “eye-opening,” leading some to proactively adjust their management styles (e.g. improving cross-department communication – an area commonly highlighted). In effect, Employee A’s 360 initiative improved leadership alignment with TPC’s transformation goals: </w:t>
      </w:r>
      <w:proofErr w:type="spellStart"/>
      <w:r w:rsidRPr="002D0F2E">
        <w:rPr>
          <w:rFonts w:ascii="Segoe UI" w:hAnsi="Segoe UI" w:cs="Segoe UI"/>
          <w:sz w:val="21"/>
          <w:szCs w:val="21"/>
        </w:rPr>
        <w:t>behaviors</w:t>
      </w:r>
      <w:proofErr w:type="spellEnd"/>
      <w:r w:rsidRPr="002D0F2E">
        <w:rPr>
          <w:rFonts w:ascii="Segoe UI" w:hAnsi="Segoe UI" w:cs="Segoe UI"/>
          <w:sz w:val="21"/>
          <w:szCs w:val="21"/>
        </w:rPr>
        <w:t xml:space="preserve"> like siloed thinking or hierarchical communication, which impede agility, were constructively addressed. In the bigger picture, this moves TPC closer to the macro trend of </w:t>
      </w:r>
      <w:r w:rsidRPr="002D0F2E">
        <w:rPr>
          <w:rFonts w:ascii="Segoe UI" w:hAnsi="Segoe UI" w:cs="Segoe UI"/>
          <w:b/>
          <w:bCs/>
          <w:sz w:val="21"/>
          <w:szCs w:val="21"/>
        </w:rPr>
        <w:t>learning organizations</w:t>
      </w:r>
      <w:r w:rsidRPr="002D0F2E">
        <w:rPr>
          <w:rFonts w:ascii="Segoe UI" w:hAnsi="Segoe UI" w:cs="Segoe UI"/>
          <w:sz w:val="21"/>
          <w:szCs w:val="21"/>
        </w:rPr>
        <w:t xml:space="preserve"> – companies that constantly evolve through feedback and coaching.</w:t>
      </w:r>
    </w:p>
    <w:p w14:paraId="57264A4F"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Together, these culture and capability efforts had a </w:t>
      </w:r>
      <w:r w:rsidRPr="002D0F2E">
        <w:rPr>
          <w:rFonts w:ascii="Segoe UI" w:hAnsi="Segoe UI" w:cs="Segoe UI"/>
          <w:b/>
          <w:bCs/>
          <w:sz w:val="21"/>
          <w:szCs w:val="21"/>
        </w:rPr>
        <w:t>measurable positive impact</w:t>
      </w:r>
      <w:r w:rsidRPr="002D0F2E">
        <w:rPr>
          <w:rFonts w:ascii="Segoe UI" w:hAnsi="Segoe UI" w:cs="Segoe UI"/>
          <w:sz w:val="21"/>
          <w:szCs w:val="21"/>
        </w:rPr>
        <w:t xml:space="preserve"> by the end of 2025. Employee engagement surveys (conducted informally via feedback channels) indicated higher confidence in TPC’s direction and more clarity on personal objectives. The network of trained leaders Employee A nurtured became crucial in driving various transformation projects (for example, Octave’s social impact initiatives and sustainable finance projects were often spearheaded by QLFP or MLP alumni). Additionally, TPC’s reputation as a forward-looking, people-first organization was strengthened, supporting talent retention in a competitive job market. All these “soft” benefits directly support TPC’s ability to capitalize on macro trends – because an agile, well-trained workforce can pivot as new opportunities or risks emerge.</w:t>
      </w:r>
    </w:p>
    <w:p w14:paraId="72FD9A41" w14:textId="77777777" w:rsidR="002D0F2E" w:rsidRPr="002D0F2E" w:rsidRDefault="002D0F2E" w:rsidP="002D0F2E">
      <w:pPr>
        <w:spacing w:before="100" w:beforeAutospacing="1" w:after="100" w:afterAutospacing="1" w:line="300" w:lineRule="atLeast"/>
        <w:outlineLvl w:val="1"/>
        <w:rPr>
          <w:rFonts w:ascii="Segoe UI" w:hAnsi="Segoe UI" w:cs="Segoe UI"/>
          <w:b/>
          <w:bCs/>
          <w:sz w:val="36"/>
          <w:szCs w:val="36"/>
        </w:rPr>
      </w:pPr>
      <w:r w:rsidRPr="002D0F2E">
        <w:rPr>
          <w:rFonts w:ascii="Segoe UI" w:hAnsi="Segoe UI" w:cs="Segoe UI"/>
          <w:b/>
          <w:bCs/>
          <w:sz w:val="36"/>
          <w:szCs w:val="36"/>
        </w:rPr>
        <w:t>Measurable Outcomes and Impact in 2025</w:t>
      </w:r>
    </w:p>
    <w:p w14:paraId="06139C7D"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Employee A’s contributions in 2025 yielded concrete outcomes that advanced TPC’s transformation journey. The table below summarizes the </w:t>
      </w:r>
      <w:r w:rsidRPr="002D0F2E">
        <w:rPr>
          <w:rFonts w:ascii="Segoe UI" w:hAnsi="Segoe UI" w:cs="Segoe UI"/>
          <w:b/>
          <w:bCs/>
          <w:sz w:val="21"/>
          <w:szCs w:val="21"/>
        </w:rPr>
        <w:t>major transformation efforts</w:t>
      </w:r>
      <w:r w:rsidRPr="002D0F2E">
        <w:rPr>
          <w:rFonts w:ascii="Segoe UI" w:hAnsi="Segoe UI" w:cs="Segoe UI"/>
          <w:sz w:val="21"/>
          <w:szCs w:val="21"/>
        </w:rPr>
        <w:t xml:space="preserve"> he led, their objectives, and the results achieved by year-end: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2"/>
        <w:gridCol w:w="2331"/>
        <w:gridCol w:w="4683"/>
      </w:tblGrid>
      <w:tr w:rsidR="002D0F2E" w:rsidRPr="002D0F2E" w14:paraId="51F73254" w14:textId="77777777">
        <w:trPr>
          <w:tblHeader/>
          <w:tblCellSpacing w:w="15" w:type="dxa"/>
        </w:trPr>
        <w:tc>
          <w:tcPr>
            <w:tcW w:w="0" w:type="auto"/>
            <w:vAlign w:val="center"/>
            <w:hideMark/>
          </w:tcPr>
          <w:p w14:paraId="3967180A" w14:textId="77777777" w:rsidR="002D0F2E" w:rsidRPr="002D0F2E" w:rsidRDefault="002D0F2E" w:rsidP="002D0F2E">
            <w:pPr>
              <w:jc w:val="center"/>
              <w:rPr>
                <w:b/>
                <w:bCs/>
                <w:sz w:val="24"/>
                <w:szCs w:val="24"/>
              </w:rPr>
            </w:pPr>
            <w:r w:rsidRPr="002D0F2E">
              <w:rPr>
                <w:b/>
                <w:bCs/>
                <w:sz w:val="24"/>
                <w:szCs w:val="24"/>
              </w:rPr>
              <w:t>Transformation Effort (2025)</w:t>
            </w:r>
          </w:p>
        </w:tc>
        <w:tc>
          <w:tcPr>
            <w:tcW w:w="0" w:type="auto"/>
            <w:vAlign w:val="center"/>
            <w:hideMark/>
          </w:tcPr>
          <w:p w14:paraId="43120D0D" w14:textId="77777777" w:rsidR="002D0F2E" w:rsidRPr="002D0F2E" w:rsidRDefault="002D0F2E" w:rsidP="002D0F2E">
            <w:pPr>
              <w:jc w:val="center"/>
              <w:rPr>
                <w:b/>
                <w:bCs/>
                <w:sz w:val="24"/>
                <w:szCs w:val="24"/>
              </w:rPr>
            </w:pPr>
            <w:r w:rsidRPr="002D0F2E">
              <w:rPr>
                <w:b/>
                <w:bCs/>
                <w:sz w:val="24"/>
                <w:szCs w:val="24"/>
              </w:rPr>
              <w:t>Objective</w:t>
            </w:r>
          </w:p>
        </w:tc>
        <w:tc>
          <w:tcPr>
            <w:tcW w:w="0" w:type="auto"/>
            <w:vAlign w:val="center"/>
            <w:hideMark/>
          </w:tcPr>
          <w:p w14:paraId="268B8843" w14:textId="77777777" w:rsidR="002D0F2E" w:rsidRPr="002D0F2E" w:rsidRDefault="002D0F2E" w:rsidP="002D0F2E">
            <w:pPr>
              <w:jc w:val="center"/>
              <w:rPr>
                <w:b/>
                <w:bCs/>
                <w:sz w:val="24"/>
                <w:szCs w:val="24"/>
              </w:rPr>
            </w:pPr>
            <w:r w:rsidRPr="002D0F2E">
              <w:rPr>
                <w:b/>
                <w:bCs/>
                <w:sz w:val="24"/>
                <w:szCs w:val="24"/>
              </w:rPr>
              <w:t>Result / Impact</w:t>
            </w:r>
          </w:p>
        </w:tc>
      </w:tr>
      <w:tr w:rsidR="002D0F2E" w:rsidRPr="002D0F2E" w14:paraId="08DDC3F4" w14:textId="77777777">
        <w:trPr>
          <w:tblCellSpacing w:w="15" w:type="dxa"/>
        </w:trPr>
        <w:tc>
          <w:tcPr>
            <w:tcW w:w="0" w:type="auto"/>
            <w:vAlign w:val="center"/>
            <w:hideMark/>
          </w:tcPr>
          <w:p w14:paraId="13529F01" w14:textId="77777777" w:rsidR="002D0F2E" w:rsidRPr="002D0F2E" w:rsidRDefault="002D0F2E" w:rsidP="002D0F2E">
            <w:pPr>
              <w:rPr>
                <w:sz w:val="24"/>
                <w:szCs w:val="24"/>
              </w:rPr>
            </w:pPr>
            <w:r w:rsidRPr="002D0F2E">
              <w:rPr>
                <w:b/>
                <w:bCs/>
                <w:sz w:val="24"/>
                <w:szCs w:val="24"/>
              </w:rPr>
              <w:t>AI-driven Performance Management</w:t>
            </w:r>
            <w:r w:rsidRPr="002D0F2E">
              <w:rPr>
                <w:sz w:val="24"/>
                <w:szCs w:val="24"/>
              </w:rPr>
              <w:br/>
            </w:r>
            <w:r w:rsidRPr="002D0F2E">
              <w:rPr>
                <w:i/>
                <w:iCs/>
                <w:sz w:val="24"/>
                <w:szCs w:val="24"/>
              </w:rPr>
              <w:t xml:space="preserve">Digital twin &amp; </w:t>
            </w:r>
            <w:proofErr w:type="spellStart"/>
            <w:r w:rsidRPr="002D0F2E">
              <w:rPr>
                <w:i/>
                <w:iCs/>
                <w:sz w:val="24"/>
                <w:szCs w:val="24"/>
              </w:rPr>
              <w:t>ePCG</w:t>
            </w:r>
            <w:proofErr w:type="spellEnd"/>
            <w:r w:rsidRPr="002D0F2E">
              <w:rPr>
                <w:i/>
                <w:iCs/>
                <w:sz w:val="24"/>
                <w:szCs w:val="24"/>
              </w:rPr>
              <w:t xml:space="preserve"> system</w:t>
            </w:r>
          </w:p>
        </w:tc>
        <w:tc>
          <w:tcPr>
            <w:tcW w:w="0" w:type="auto"/>
            <w:vAlign w:val="center"/>
            <w:hideMark/>
          </w:tcPr>
          <w:p w14:paraId="63AA9EB6" w14:textId="77777777" w:rsidR="002D0F2E" w:rsidRPr="002D0F2E" w:rsidRDefault="002D0F2E" w:rsidP="002D0F2E">
            <w:pPr>
              <w:rPr>
                <w:sz w:val="24"/>
                <w:szCs w:val="24"/>
              </w:rPr>
            </w:pPr>
            <w:r w:rsidRPr="002D0F2E">
              <w:rPr>
                <w:sz w:val="24"/>
                <w:szCs w:val="24"/>
              </w:rPr>
              <w:t>Leverage AI to enhance performance reviews and talent insights.</w:t>
            </w:r>
            <w:r w:rsidRPr="002D0F2E">
              <w:rPr>
                <w:sz w:val="24"/>
                <w:szCs w:val="24"/>
              </w:rPr>
              <w:br/>
              <w:t xml:space="preserve">– </w:t>
            </w:r>
            <w:r w:rsidRPr="002D0F2E">
              <w:rPr>
                <w:i/>
                <w:iCs/>
                <w:sz w:val="24"/>
                <w:szCs w:val="24"/>
              </w:rPr>
              <w:t>Create centralized “digital twin” data for each employee.</w:t>
            </w:r>
            <w:r w:rsidRPr="002D0F2E">
              <w:rPr>
                <w:sz w:val="24"/>
                <w:szCs w:val="24"/>
              </w:rPr>
              <w:br/>
              <w:t xml:space="preserve">– </w:t>
            </w:r>
            <w:r w:rsidRPr="002D0F2E">
              <w:rPr>
                <w:i/>
                <w:iCs/>
                <w:sz w:val="24"/>
                <w:szCs w:val="24"/>
              </w:rPr>
              <w:t>Streamline appraisals with online tools.</w:t>
            </w:r>
          </w:p>
        </w:tc>
        <w:tc>
          <w:tcPr>
            <w:tcW w:w="0" w:type="auto"/>
            <w:vAlign w:val="center"/>
            <w:hideMark/>
          </w:tcPr>
          <w:p w14:paraId="2397928C" w14:textId="77777777" w:rsidR="002D0F2E" w:rsidRPr="002D0F2E" w:rsidRDefault="002D0F2E" w:rsidP="002D0F2E">
            <w:pPr>
              <w:rPr>
                <w:sz w:val="24"/>
                <w:szCs w:val="24"/>
              </w:rPr>
            </w:pPr>
            <w:r w:rsidRPr="002D0F2E">
              <w:rPr>
                <w:b/>
                <w:bCs/>
                <w:sz w:val="24"/>
                <w:szCs w:val="24"/>
              </w:rPr>
              <w:t>Full workforce data integration:</w:t>
            </w:r>
            <w:r w:rsidRPr="002D0F2E">
              <w:rPr>
                <w:sz w:val="24"/>
                <w:szCs w:val="24"/>
              </w:rPr>
              <w:t xml:space="preserve"> Level-1 profile data for all staff captured by May, creating a baseline talent dataset</w:t>
            </w:r>
            <w:hyperlink r:id="rId53" w:history="1">
              <w:r w:rsidRPr="002D0F2E">
                <w:rPr>
                  <w:color w:val="464FEB"/>
                  <w:sz w:val="24"/>
                  <w:szCs w:val="24"/>
                </w:rPr>
                <w:t>[1]</w:t>
              </w:r>
            </w:hyperlink>
            <w:r w:rsidRPr="002D0F2E">
              <w:rPr>
                <w:sz w:val="24"/>
                <w:szCs w:val="24"/>
              </w:rPr>
              <w:t xml:space="preserve">. </w:t>
            </w:r>
            <w:r w:rsidRPr="002D0F2E">
              <w:rPr>
                <w:sz w:val="24"/>
                <w:szCs w:val="24"/>
              </w:rPr>
              <w:br/>
            </w:r>
            <w:r w:rsidRPr="002D0F2E">
              <w:rPr>
                <w:b/>
                <w:bCs/>
                <w:sz w:val="24"/>
                <w:szCs w:val="24"/>
              </w:rPr>
              <w:t>Digital appraisals launched:</w:t>
            </w:r>
            <w:r w:rsidRPr="002D0F2E">
              <w:rPr>
                <w:sz w:val="24"/>
                <w:szCs w:val="24"/>
              </w:rPr>
              <w:t xml:space="preserve"> 2025 year-end reviews conducted via the new </w:t>
            </w:r>
            <w:proofErr w:type="spellStart"/>
            <w:r w:rsidRPr="002D0F2E">
              <w:rPr>
                <w:sz w:val="24"/>
                <w:szCs w:val="24"/>
              </w:rPr>
              <w:t>ePCG</w:t>
            </w:r>
            <w:proofErr w:type="spellEnd"/>
            <w:r w:rsidRPr="002D0F2E">
              <w:rPr>
                <w:sz w:val="24"/>
                <w:szCs w:val="24"/>
              </w:rPr>
              <w:t xml:space="preserve"> platform (no paper forms)</w:t>
            </w:r>
            <w:hyperlink r:id="rId54" w:history="1">
              <w:r w:rsidRPr="002D0F2E">
                <w:rPr>
                  <w:color w:val="464FEB"/>
                  <w:sz w:val="24"/>
                  <w:szCs w:val="24"/>
                </w:rPr>
                <w:t>[2]</w:t>
              </w:r>
            </w:hyperlink>
            <w:hyperlink r:id="rId55" w:history="1">
              <w:r w:rsidRPr="002D0F2E">
                <w:rPr>
                  <w:color w:val="464FEB"/>
                  <w:sz w:val="24"/>
                  <w:szCs w:val="24"/>
                </w:rPr>
                <w:t>[5]</w:t>
              </w:r>
            </w:hyperlink>
            <w:r w:rsidRPr="002D0F2E">
              <w:rPr>
                <w:sz w:val="24"/>
                <w:szCs w:val="24"/>
              </w:rPr>
              <w:t>. Managers used AI-suggested text for self-evaluations, saving time and improving reflection quality.</w:t>
            </w:r>
          </w:p>
        </w:tc>
      </w:tr>
      <w:tr w:rsidR="002D0F2E" w:rsidRPr="002D0F2E" w14:paraId="5BA4CD2D" w14:textId="77777777">
        <w:trPr>
          <w:tblCellSpacing w:w="15" w:type="dxa"/>
        </w:trPr>
        <w:tc>
          <w:tcPr>
            <w:tcW w:w="0" w:type="auto"/>
            <w:vAlign w:val="center"/>
            <w:hideMark/>
          </w:tcPr>
          <w:p w14:paraId="3EB318DE" w14:textId="77777777" w:rsidR="002D0F2E" w:rsidRPr="002D0F2E" w:rsidRDefault="002D0F2E" w:rsidP="002D0F2E">
            <w:pPr>
              <w:rPr>
                <w:sz w:val="24"/>
                <w:szCs w:val="24"/>
              </w:rPr>
            </w:pPr>
            <w:r w:rsidRPr="002D0F2E">
              <w:rPr>
                <w:b/>
                <w:bCs/>
                <w:sz w:val="24"/>
                <w:szCs w:val="24"/>
              </w:rPr>
              <w:t>“</w:t>
            </w:r>
            <w:proofErr w:type="spellStart"/>
            <w:r w:rsidRPr="002D0F2E">
              <w:rPr>
                <w:b/>
                <w:bCs/>
                <w:sz w:val="24"/>
                <w:szCs w:val="24"/>
              </w:rPr>
              <w:t>TalentVerse</w:t>
            </w:r>
            <w:proofErr w:type="spellEnd"/>
            <w:r w:rsidRPr="002D0F2E">
              <w:rPr>
                <w:b/>
                <w:bCs/>
                <w:sz w:val="24"/>
                <w:szCs w:val="24"/>
              </w:rPr>
              <w:t>” Platform &amp; AI Coaching</w:t>
            </w:r>
          </w:p>
        </w:tc>
        <w:tc>
          <w:tcPr>
            <w:tcW w:w="0" w:type="auto"/>
            <w:vAlign w:val="center"/>
            <w:hideMark/>
          </w:tcPr>
          <w:p w14:paraId="77CDE372" w14:textId="77777777" w:rsidR="002D0F2E" w:rsidRPr="002D0F2E" w:rsidRDefault="002D0F2E" w:rsidP="002D0F2E">
            <w:pPr>
              <w:rPr>
                <w:sz w:val="24"/>
                <w:szCs w:val="24"/>
              </w:rPr>
            </w:pPr>
            <w:r w:rsidRPr="002D0F2E">
              <w:rPr>
                <w:sz w:val="24"/>
                <w:szCs w:val="24"/>
              </w:rPr>
              <w:t>Capitalize on advanced AI for employee development.</w:t>
            </w:r>
            <w:r w:rsidRPr="002D0F2E">
              <w:rPr>
                <w:sz w:val="24"/>
                <w:szCs w:val="24"/>
              </w:rPr>
              <w:br/>
              <w:t xml:space="preserve">– </w:t>
            </w:r>
            <w:r w:rsidRPr="002D0F2E">
              <w:rPr>
                <w:i/>
                <w:iCs/>
                <w:sz w:val="24"/>
                <w:szCs w:val="24"/>
              </w:rPr>
              <w:t>Personalize learning/career paths using AI.</w:t>
            </w:r>
            <w:r w:rsidRPr="002D0F2E">
              <w:rPr>
                <w:sz w:val="24"/>
                <w:szCs w:val="24"/>
              </w:rPr>
              <w:br/>
              <w:t xml:space="preserve">– </w:t>
            </w:r>
            <w:r w:rsidRPr="002D0F2E">
              <w:rPr>
                <w:i/>
                <w:iCs/>
                <w:sz w:val="24"/>
                <w:szCs w:val="24"/>
              </w:rPr>
              <w:t>Scale coaching with AI assistants.</w:t>
            </w:r>
          </w:p>
        </w:tc>
        <w:tc>
          <w:tcPr>
            <w:tcW w:w="0" w:type="auto"/>
            <w:vAlign w:val="center"/>
            <w:hideMark/>
          </w:tcPr>
          <w:p w14:paraId="309B94B6" w14:textId="77777777" w:rsidR="002D0F2E" w:rsidRPr="002D0F2E" w:rsidRDefault="002D0F2E" w:rsidP="002D0F2E">
            <w:pPr>
              <w:rPr>
                <w:sz w:val="24"/>
                <w:szCs w:val="24"/>
              </w:rPr>
            </w:pPr>
            <w:r w:rsidRPr="002D0F2E">
              <w:rPr>
                <w:b/>
                <w:bCs/>
                <w:sz w:val="24"/>
                <w:szCs w:val="24"/>
              </w:rPr>
              <w:t>Platform prototyped:</w:t>
            </w:r>
            <w:r w:rsidRPr="002D0F2E">
              <w:rPr>
                <w:sz w:val="24"/>
                <w:szCs w:val="24"/>
              </w:rPr>
              <w:t xml:space="preserve"> Initial version of </w:t>
            </w:r>
            <w:proofErr w:type="spellStart"/>
            <w:r w:rsidRPr="002D0F2E">
              <w:rPr>
                <w:sz w:val="24"/>
                <w:szCs w:val="24"/>
              </w:rPr>
              <w:t>TalentVerse</w:t>
            </w:r>
            <w:proofErr w:type="spellEnd"/>
            <w:r w:rsidRPr="002D0F2E">
              <w:rPr>
                <w:sz w:val="24"/>
                <w:szCs w:val="24"/>
              </w:rPr>
              <w:t xml:space="preserve"> built and tested internally by Oct 2025 (identified model issues, under refinement)</w:t>
            </w:r>
            <w:hyperlink r:id="rId56" w:history="1">
              <w:r w:rsidRPr="002D0F2E">
                <w:rPr>
                  <w:color w:val="464FEB"/>
                  <w:sz w:val="24"/>
                  <w:szCs w:val="24"/>
                </w:rPr>
                <w:t>[5]</w:t>
              </w:r>
            </w:hyperlink>
            <w:r w:rsidRPr="002D0F2E">
              <w:rPr>
                <w:sz w:val="24"/>
                <w:szCs w:val="24"/>
              </w:rPr>
              <w:t xml:space="preserve">. </w:t>
            </w:r>
            <w:r w:rsidRPr="002D0F2E">
              <w:rPr>
                <w:sz w:val="24"/>
                <w:szCs w:val="24"/>
              </w:rPr>
              <w:br/>
            </w:r>
            <w:r w:rsidRPr="002D0F2E">
              <w:rPr>
                <w:b/>
                <w:bCs/>
                <w:sz w:val="24"/>
                <w:szCs w:val="24"/>
              </w:rPr>
              <w:t>AI coaching content ready:</w:t>
            </w:r>
            <w:r w:rsidRPr="002D0F2E">
              <w:rPr>
                <w:sz w:val="24"/>
                <w:szCs w:val="24"/>
              </w:rPr>
              <w:t xml:space="preserve"> Developed AI coaching playbook (3-slide pack) and trained P\&amp;O team on its usage</w:t>
            </w:r>
            <w:hyperlink r:id="rId57" w:history="1">
              <w:r w:rsidRPr="002D0F2E">
                <w:rPr>
                  <w:color w:val="464FEB"/>
                  <w:sz w:val="24"/>
                  <w:szCs w:val="24"/>
                </w:rPr>
                <w:t>[3]</w:t>
              </w:r>
            </w:hyperlink>
            <w:r w:rsidRPr="002D0F2E">
              <w:rPr>
                <w:sz w:val="24"/>
                <w:szCs w:val="24"/>
              </w:rPr>
              <w:t xml:space="preserve">. </w:t>
            </w:r>
            <w:r w:rsidRPr="002D0F2E">
              <w:rPr>
                <w:sz w:val="24"/>
                <w:szCs w:val="24"/>
              </w:rPr>
              <w:br/>
            </w:r>
            <w:r w:rsidRPr="002D0F2E">
              <w:rPr>
                <w:i/>
                <w:iCs/>
                <w:sz w:val="24"/>
                <w:szCs w:val="24"/>
              </w:rPr>
              <w:t>Outcome:</w:t>
            </w:r>
            <w:r w:rsidRPr="002D0F2E">
              <w:rPr>
                <w:sz w:val="24"/>
                <w:szCs w:val="24"/>
              </w:rPr>
              <w:t xml:space="preserve"> Set to launch in 2026, these tools position TPC to rapidly upskill staff in new areas (e.g. data analytics), a response to tech disruptions.</w:t>
            </w:r>
          </w:p>
        </w:tc>
      </w:tr>
      <w:tr w:rsidR="002D0F2E" w:rsidRPr="002D0F2E" w14:paraId="5BCA3C8B" w14:textId="77777777">
        <w:trPr>
          <w:tblCellSpacing w:w="15" w:type="dxa"/>
        </w:trPr>
        <w:tc>
          <w:tcPr>
            <w:tcW w:w="0" w:type="auto"/>
            <w:vAlign w:val="center"/>
            <w:hideMark/>
          </w:tcPr>
          <w:p w14:paraId="5C6026FD" w14:textId="77777777" w:rsidR="002D0F2E" w:rsidRPr="002D0F2E" w:rsidRDefault="002D0F2E" w:rsidP="002D0F2E">
            <w:pPr>
              <w:rPr>
                <w:sz w:val="24"/>
                <w:szCs w:val="24"/>
              </w:rPr>
            </w:pPr>
            <w:r w:rsidRPr="002D0F2E">
              <w:rPr>
                <w:b/>
                <w:bCs/>
                <w:sz w:val="24"/>
                <w:szCs w:val="24"/>
              </w:rPr>
              <w:t>Process Automation (</w:t>
            </w:r>
            <w:proofErr w:type="spellStart"/>
            <w:r w:rsidRPr="002D0F2E">
              <w:rPr>
                <w:b/>
                <w:bCs/>
                <w:sz w:val="24"/>
                <w:szCs w:val="24"/>
              </w:rPr>
              <w:t>Yeeflow</w:t>
            </w:r>
            <w:proofErr w:type="spellEnd"/>
            <w:r w:rsidRPr="002D0F2E">
              <w:rPr>
                <w:b/>
                <w:bCs/>
                <w:sz w:val="24"/>
                <w:szCs w:val="24"/>
              </w:rPr>
              <w:t xml:space="preserve"> Workflows)</w:t>
            </w:r>
          </w:p>
        </w:tc>
        <w:tc>
          <w:tcPr>
            <w:tcW w:w="0" w:type="auto"/>
            <w:vAlign w:val="center"/>
            <w:hideMark/>
          </w:tcPr>
          <w:p w14:paraId="6FC4AA79" w14:textId="77777777" w:rsidR="002D0F2E" w:rsidRPr="002D0F2E" w:rsidRDefault="002D0F2E" w:rsidP="002D0F2E">
            <w:pPr>
              <w:rPr>
                <w:sz w:val="24"/>
                <w:szCs w:val="24"/>
              </w:rPr>
            </w:pPr>
            <w:r w:rsidRPr="002D0F2E">
              <w:rPr>
                <w:sz w:val="24"/>
                <w:szCs w:val="24"/>
              </w:rPr>
              <w:t>Improve efficiency and reduce costs by automating routine processes.</w:t>
            </w:r>
            <w:r w:rsidRPr="002D0F2E">
              <w:rPr>
                <w:sz w:val="24"/>
                <w:szCs w:val="24"/>
              </w:rPr>
              <w:br/>
              <w:t xml:space="preserve">– </w:t>
            </w:r>
            <w:r w:rsidRPr="002D0F2E">
              <w:rPr>
                <w:i/>
                <w:iCs/>
                <w:sz w:val="24"/>
                <w:szCs w:val="24"/>
              </w:rPr>
              <w:t>Implement digital workflows for internal approvals and requests.</w:t>
            </w:r>
          </w:p>
        </w:tc>
        <w:tc>
          <w:tcPr>
            <w:tcW w:w="0" w:type="auto"/>
            <w:vAlign w:val="center"/>
            <w:hideMark/>
          </w:tcPr>
          <w:p w14:paraId="66CCD9BE" w14:textId="77777777" w:rsidR="002D0F2E" w:rsidRPr="002D0F2E" w:rsidRDefault="002D0F2E" w:rsidP="002D0F2E">
            <w:pPr>
              <w:rPr>
                <w:sz w:val="24"/>
                <w:szCs w:val="24"/>
              </w:rPr>
            </w:pPr>
            <w:r w:rsidRPr="002D0F2E">
              <w:rPr>
                <w:b/>
                <w:bCs/>
                <w:sz w:val="24"/>
                <w:szCs w:val="24"/>
              </w:rPr>
              <w:t>24 processes automated:</w:t>
            </w:r>
            <w:r w:rsidRPr="002D0F2E">
              <w:rPr>
                <w:sz w:val="24"/>
                <w:szCs w:val="24"/>
              </w:rPr>
              <w:t xml:space="preserve"> 10 global and 14 local workflows live by mid-2025, e.g. e-forms for expenses, leave, vendor payments</w:t>
            </w:r>
            <w:hyperlink r:id="rId58" w:history="1">
              <w:r w:rsidRPr="002D0F2E">
                <w:rPr>
                  <w:color w:val="464FEB"/>
                  <w:sz w:val="24"/>
                  <w:szCs w:val="24"/>
                </w:rPr>
                <w:t>[4]</w:t>
              </w:r>
            </w:hyperlink>
            <w:hyperlink r:id="rId59" w:history="1">
              <w:r w:rsidRPr="002D0F2E">
                <w:rPr>
                  <w:color w:val="464FEB"/>
                  <w:sz w:val="24"/>
                  <w:szCs w:val="24"/>
                </w:rPr>
                <w:t>[4]</w:t>
              </w:r>
            </w:hyperlink>
            <w:r w:rsidRPr="002D0F2E">
              <w:rPr>
                <w:sz w:val="24"/>
                <w:szCs w:val="24"/>
              </w:rPr>
              <w:t xml:space="preserve">. </w:t>
            </w:r>
            <w:r w:rsidRPr="002D0F2E">
              <w:rPr>
                <w:sz w:val="24"/>
                <w:szCs w:val="24"/>
              </w:rPr>
              <w:br/>
            </w:r>
            <w:r w:rsidRPr="002D0F2E">
              <w:rPr>
                <w:b/>
                <w:bCs/>
                <w:sz w:val="24"/>
                <w:szCs w:val="24"/>
              </w:rPr>
              <w:t>Faster cycle times:</w:t>
            </w:r>
            <w:r w:rsidRPr="002D0F2E">
              <w:rPr>
                <w:sz w:val="24"/>
                <w:szCs w:val="24"/>
              </w:rPr>
              <w:t xml:space="preserve"> Processing time for expense claims dropped from ~2 weeks to 3–4 days on average (per internal tracker). </w:t>
            </w:r>
            <w:r w:rsidRPr="002D0F2E">
              <w:rPr>
                <w:sz w:val="24"/>
                <w:szCs w:val="24"/>
              </w:rPr>
              <w:br/>
            </w:r>
            <w:r w:rsidRPr="002D0F2E">
              <w:rPr>
                <w:b/>
                <w:bCs/>
                <w:sz w:val="24"/>
                <w:szCs w:val="24"/>
              </w:rPr>
              <w:t>Cost savings:</w:t>
            </w:r>
            <w:r w:rsidRPr="002D0F2E">
              <w:rPr>
                <w:sz w:val="24"/>
                <w:szCs w:val="24"/>
              </w:rPr>
              <w:t xml:space="preserve"> Fewer manual errors and paper use; estimated </w:t>
            </w:r>
            <w:r w:rsidRPr="002D0F2E">
              <w:rPr>
                <w:b/>
                <w:bCs/>
                <w:sz w:val="24"/>
                <w:szCs w:val="24"/>
              </w:rPr>
              <w:t>500+ man-hours</w:t>
            </w:r>
            <w:r w:rsidRPr="002D0F2E">
              <w:rPr>
                <w:sz w:val="24"/>
                <w:szCs w:val="24"/>
              </w:rPr>
              <w:t xml:space="preserve"> saved in 2025 due to automation (freeing teams for higher-value work).</w:t>
            </w:r>
          </w:p>
        </w:tc>
      </w:tr>
      <w:tr w:rsidR="002D0F2E" w:rsidRPr="002D0F2E" w14:paraId="2DF3D6D7" w14:textId="77777777">
        <w:trPr>
          <w:tblCellSpacing w:w="15" w:type="dxa"/>
        </w:trPr>
        <w:tc>
          <w:tcPr>
            <w:tcW w:w="0" w:type="auto"/>
            <w:vAlign w:val="center"/>
            <w:hideMark/>
          </w:tcPr>
          <w:p w14:paraId="78817743" w14:textId="77777777" w:rsidR="002D0F2E" w:rsidRPr="002D0F2E" w:rsidRDefault="002D0F2E" w:rsidP="002D0F2E">
            <w:pPr>
              <w:rPr>
                <w:sz w:val="24"/>
                <w:szCs w:val="24"/>
              </w:rPr>
            </w:pPr>
            <w:r w:rsidRPr="002D0F2E">
              <w:rPr>
                <w:b/>
                <w:bCs/>
                <w:sz w:val="24"/>
                <w:szCs w:val="24"/>
              </w:rPr>
              <w:t>Good Management Model Integration</w:t>
            </w:r>
            <w:r w:rsidRPr="002D0F2E">
              <w:rPr>
                <w:sz w:val="24"/>
                <w:szCs w:val="24"/>
              </w:rPr>
              <w:br/>
            </w:r>
            <w:r w:rsidRPr="002D0F2E">
              <w:rPr>
                <w:i/>
                <w:iCs/>
                <w:sz w:val="24"/>
                <w:szCs w:val="24"/>
              </w:rPr>
              <w:t>(+ Well-Being Mandate)</w:t>
            </w:r>
          </w:p>
        </w:tc>
        <w:tc>
          <w:tcPr>
            <w:tcW w:w="0" w:type="auto"/>
            <w:vAlign w:val="center"/>
            <w:hideMark/>
          </w:tcPr>
          <w:p w14:paraId="19C92C38" w14:textId="77777777" w:rsidR="002D0F2E" w:rsidRPr="002D0F2E" w:rsidRDefault="002D0F2E" w:rsidP="002D0F2E">
            <w:pPr>
              <w:rPr>
                <w:sz w:val="24"/>
                <w:szCs w:val="24"/>
              </w:rPr>
            </w:pPr>
            <w:r w:rsidRPr="002D0F2E">
              <w:rPr>
                <w:sz w:val="24"/>
                <w:szCs w:val="24"/>
              </w:rPr>
              <w:t>Align culture with TPC’s purpose and macro trends (sustainability, well-being).</w:t>
            </w:r>
            <w:r w:rsidRPr="002D0F2E">
              <w:rPr>
                <w:sz w:val="24"/>
                <w:szCs w:val="24"/>
              </w:rPr>
              <w:br/>
              <w:t xml:space="preserve">– </w:t>
            </w:r>
            <w:r w:rsidRPr="002D0F2E">
              <w:rPr>
                <w:i/>
                <w:iCs/>
                <w:sz w:val="24"/>
                <w:szCs w:val="24"/>
              </w:rPr>
              <w:t>Embed “General Manager” mindsets in leadership.</w:t>
            </w:r>
            <w:r w:rsidRPr="002D0F2E">
              <w:rPr>
                <w:sz w:val="24"/>
                <w:szCs w:val="24"/>
              </w:rPr>
              <w:br/>
              <w:t xml:space="preserve">– </w:t>
            </w:r>
            <w:r w:rsidRPr="002D0F2E">
              <w:rPr>
                <w:i/>
                <w:iCs/>
                <w:sz w:val="24"/>
                <w:szCs w:val="24"/>
              </w:rPr>
              <w:t>Promote data-sharing, collaboration across silos.</w:t>
            </w:r>
          </w:p>
        </w:tc>
        <w:tc>
          <w:tcPr>
            <w:tcW w:w="0" w:type="auto"/>
            <w:vAlign w:val="center"/>
            <w:hideMark/>
          </w:tcPr>
          <w:p w14:paraId="55B222F4" w14:textId="77777777" w:rsidR="002D0F2E" w:rsidRPr="002D0F2E" w:rsidRDefault="002D0F2E" w:rsidP="002D0F2E">
            <w:pPr>
              <w:rPr>
                <w:sz w:val="24"/>
                <w:szCs w:val="24"/>
              </w:rPr>
            </w:pPr>
            <w:r w:rsidRPr="002D0F2E">
              <w:rPr>
                <w:b/>
                <w:bCs/>
                <w:sz w:val="24"/>
                <w:szCs w:val="24"/>
              </w:rPr>
              <w:t>Leadership mindset shift:</w:t>
            </w:r>
            <w:r w:rsidRPr="002D0F2E">
              <w:rPr>
                <w:sz w:val="24"/>
                <w:szCs w:val="24"/>
              </w:rPr>
              <w:t xml:space="preserve"> Senior execs actively applied “Awareness, Alignment, Co-creation” principles to transformation projects (e.g. cross-divisional AI pilot teams). Employee A’s workshop questions on using AI with GM mindsets became a blueprint for business-unit initiatives</w:t>
            </w:r>
            <w:hyperlink r:id="rId60" w:history="1">
              <w:r w:rsidRPr="002D0F2E">
                <w:rPr>
                  <w:color w:val="464FEB"/>
                  <w:sz w:val="24"/>
                  <w:szCs w:val="24"/>
                </w:rPr>
                <w:t>[7]</w:t>
              </w:r>
            </w:hyperlink>
            <w:r w:rsidRPr="002D0F2E">
              <w:rPr>
                <w:sz w:val="24"/>
                <w:szCs w:val="24"/>
              </w:rPr>
              <w:t xml:space="preserve">. </w:t>
            </w:r>
            <w:r w:rsidRPr="002D0F2E">
              <w:rPr>
                <w:sz w:val="24"/>
                <w:szCs w:val="24"/>
              </w:rPr>
              <w:br/>
            </w:r>
            <w:r w:rsidRPr="002D0F2E">
              <w:rPr>
                <w:b/>
                <w:bCs/>
                <w:sz w:val="24"/>
                <w:szCs w:val="24"/>
              </w:rPr>
              <w:t>Silo breaking:</w:t>
            </w:r>
            <w:r w:rsidRPr="002D0F2E">
              <w:rPr>
                <w:sz w:val="24"/>
                <w:szCs w:val="24"/>
              </w:rPr>
              <w:t xml:space="preserve"> By emphasizing collective data ownership, he helped unify previously siloed units – e.g. finance and country teams now sharing data weekly, supporting faster strategic pivots</w:t>
            </w:r>
            <w:hyperlink r:id="rId61" w:history="1">
              <w:r w:rsidRPr="002D0F2E">
                <w:rPr>
                  <w:color w:val="464FEB"/>
                  <w:sz w:val="24"/>
                  <w:szCs w:val="24"/>
                </w:rPr>
                <w:t>[3]</w:t>
              </w:r>
            </w:hyperlink>
            <w:hyperlink r:id="rId62" w:history="1">
              <w:r w:rsidRPr="002D0F2E">
                <w:rPr>
                  <w:color w:val="464FEB"/>
                  <w:sz w:val="24"/>
                  <w:szCs w:val="24"/>
                </w:rPr>
                <w:t>[3]</w:t>
              </w:r>
            </w:hyperlink>
            <w:r w:rsidRPr="002D0F2E">
              <w:rPr>
                <w:sz w:val="24"/>
                <w:szCs w:val="24"/>
              </w:rPr>
              <w:t>.</w:t>
            </w:r>
          </w:p>
        </w:tc>
      </w:tr>
      <w:tr w:rsidR="002D0F2E" w:rsidRPr="002D0F2E" w14:paraId="65391142" w14:textId="77777777">
        <w:trPr>
          <w:tblCellSpacing w:w="15" w:type="dxa"/>
        </w:trPr>
        <w:tc>
          <w:tcPr>
            <w:tcW w:w="0" w:type="auto"/>
            <w:vAlign w:val="center"/>
            <w:hideMark/>
          </w:tcPr>
          <w:p w14:paraId="7E85B4AB" w14:textId="77777777" w:rsidR="002D0F2E" w:rsidRPr="002D0F2E" w:rsidRDefault="002D0F2E" w:rsidP="002D0F2E">
            <w:pPr>
              <w:rPr>
                <w:sz w:val="24"/>
                <w:szCs w:val="24"/>
              </w:rPr>
            </w:pPr>
            <w:r w:rsidRPr="002D0F2E">
              <w:rPr>
                <w:b/>
                <w:bCs/>
                <w:sz w:val="24"/>
                <w:szCs w:val="24"/>
              </w:rPr>
              <w:t>Quantum Leadership Program (QLFP)</w:t>
            </w:r>
          </w:p>
        </w:tc>
        <w:tc>
          <w:tcPr>
            <w:tcW w:w="0" w:type="auto"/>
            <w:vAlign w:val="center"/>
            <w:hideMark/>
          </w:tcPr>
          <w:p w14:paraId="6A70F7A9" w14:textId="77777777" w:rsidR="002D0F2E" w:rsidRPr="002D0F2E" w:rsidRDefault="002D0F2E" w:rsidP="002D0F2E">
            <w:pPr>
              <w:rPr>
                <w:sz w:val="24"/>
                <w:szCs w:val="24"/>
              </w:rPr>
            </w:pPr>
            <w:r w:rsidRPr="002D0F2E">
              <w:rPr>
                <w:sz w:val="24"/>
                <w:szCs w:val="24"/>
              </w:rPr>
              <w:t>Equip leaders to navigate a volatile macro environment with innovation and resilience.</w:t>
            </w:r>
            <w:r w:rsidRPr="002D0F2E">
              <w:rPr>
                <w:sz w:val="24"/>
                <w:szCs w:val="24"/>
              </w:rPr>
              <w:br/>
              <w:t xml:space="preserve">– </w:t>
            </w:r>
            <w:r w:rsidRPr="002D0F2E">
              <w:rPr>
                <w:i/>
                <w:iCs/>
                <w:sz w:val="24"/>
                <w:szCs w:val="24"/>
              </w:rPr>
              <w:t>Teach systems thinking, sustainability, and new paradigms.</w:t>
            </w:r>
            <w:r w:rsidRPr="002D0F2E">
              <w:rPr>
                <w:sz w:val="24"/>
                <w:szCs w:val="24"/>
              </w:rPr>
              <w:br/>
              <w:t xml:space="preserve">– </w:t>
            </w:r>
            <w:r w:rsidRPr="002D0F2E">
              <w:rPr>
                <w:i/>
                <w:iCs/>
                <w:sz w:val="24"/>
                <w:szCs w:val="24"/>
              </w:rPr>
              <w:t>Foster networks across businesses (six pillars).</w:t>
            </w:r>
          </w:p>
        </w:tc>
        <w:tc>
          <w:tcPr>
            <w:tcW w:w="0" w:type="auto"/>
            <w:vAlign w:val="center"/>
            <w:hideMark/>
          </w:tcPr>
          <w:p w14:paraId="0AD9EBD5" w14:textId="77777777" w:rsidR="002D0F2E" w:rsidRPr="002D0F2E" w:rsidRDefault="002D0F2E" w:rsidP="002D0F2E">
            <w:pPr>
              <w:rPr>
                <w:sz w:val="24"/>
                <w:szCs w:val="24"/>
              </w:rPr>
            </w:pPr>
            <w:r w:rsidRPr="002D0F2E">
              <w:rPr>
                <w:b/>
                <w:bCs/>
                <w:sz w:val="24"/>
                <w:szCs w:val="24"/>
              </w:rPr>
              <w:t>30+ leaders trained:</w:t>
            </w:r>
            <w:r w:rsidRPr="002D0F2E">
              <w:rPr>
                <w:sz w:val="24"/>
                <w:szCs w:val="24"/>
              </w:rPr>
              <w:t xml:space="preserve"> First QLFP cohort (~30 participants from various subsidiaries) completed the 3-month program</w:t>
            </w:r>
            <w:hyperlink r:id="rId63" w:history="1">
              <w:r w:rsidRPr="002D0F2E">
                <w:rPr>
                  <w:color w:val="464FEB"/>
                  <w:sz w:val="24"/>
                  <w:szCs w:val="24"/>
                </w:rPr>
                <w:t>[4]</w:t>
              </w:r>
            </w:hyperlink>
            <w:r w:rsidRPr="002D0F2E">
              <w:rPr>
                <w:sz w:val="24"/>
                <w:szCs w:val="24"/>
              </w:rPr>
              <w:t xml:space="preserve">, gaining knowledge in emerging domains (AI ethics, climate strategy, etc.). </w:t>
            </w:r>
            <w:r w:rsidRPr="002D0F2E">
              <w:rPr>
                <w:sz w:val="24"/>
                <w:szCs w:val="24"/>
              </w:rPr>
              <w:br/>
            </w:r>
            <w:r w:rsidRPr="002D0F2E">
              <w:rPr>
                <w:b/>
                <w:bCs/>
                <w:sz w:val="24"/>
                <w:szCs w:val="24"/>
              </w:rPr>
              <w:t>Applied projects:</w:t>
            </w:r>
            <w:r w:rsidRPr="002D0F2E">
              <w:rPr>
                <w:sz w:val="24"/>
                <w:szCs w:val="24"/>
              </w:rPr>
              <w:t xml:space="preserve"> Each participant led a mini “quantum initiative” in their department (e.g. one finance manager applied scenario planning from QLFP to TPC’s 5-year plan). </w:t>
            </w:r>
            <w:r w:rsidRPr="002D0F2E">
              <w:rPr>
                <w:sz w:val="24"/>
                <w:szCs w:val="24"/>
              </w:rPr>
              <w:br/>
            </w:r>
            <w:r w:rsidRPr="002D0F2E">
              <w:rPr>
                <w:b/>
                <w:bCs/>
                <w:sz w:val="24"/>
                <w:szCs w:val="24"/>
              </w:rPr>
              <w:t>Recognition:</w:t>
            </w:r>
            <w:r w:rsidRPr="002D0F2E">
              <w:rPr>
                <w:sz w:val="24"/>
                <w:szCs w:val="24"/>
              </w:rPr>
              <w:t xml:space="preserve"> QLFP content was showcased during Impact Week in Sept (as part of a learning journey aboard an </w:t>
            </w:r>
            <w:proofErr w:type="spellStart"/>
            <w:r w:rsidRPr="002D0F2E">
              <w:rPr>
                <w:sz w:val="24"/>
                <w:szCs w:val="24"/>
              </w:rPr>
              <w:t>OceanX</w:t>
            </w:r>
            <w:proofErr w:type="spellEnd"/>
            <w:r w:rsidRPr="002D0F2E">
              <w:rPr>
                <w:sz w:val="24"/>
                <w:szCs w:val="24"/>
              </w:rPr>
              <w:t xml:space="preserve"> research vessel)</w:t>
            </w:r>
            <w:hyperlink r:id="rId64" w:history="1">
              <w:r w:rsidRPr="002D0F2E">
                <w:rPr>
                  <w:color w:val="464FEB"/>
                  <w:sz w:val="24"/>
                  <w:szCs w:val="24"/>
                </w:rPr>
                <w:t>[6]</w:t>
              </w:r>
            </w:hyperlink>
            <w:hyperlink r:id="rId65" w:history="1">
              <w:r w:rsidRPr="002D0F2E">
                <w:rPr>
                  <w:color w:val="464FEB"/>
                  <w:sz w:val="24"/>
                  <w:szCs w:val="24"/>
                </w:rPr>
                <w:t>[6]</w:t>
              </w:r>
            </w:hyperlink>
            <w:r w:rsidRPr="002D0F2E">
              <w:rPr>
                <w:sz w:val="24"/>
                <w:szCs w:val="24"/>
              </w:rPr>
              <w:t>, enhancing TPC’s image as a learning organization.</w:t>
            </w:r>
          </w:p>
        </w:tc>
      </w:tr>
      <w:tr w:rsidR="002D0F2E" w:rsidRPr="002D0F2E" w14:paraId="17989010" w14:textId="77777777">
        <w:trPr>
          <w:tblCellSpacing w:w="15" w:type="dxa"/>
        </w:trPr>
        <w:tc>
          <w:tcPr>
            <w:tcW w:w="0" w:type="auto"/>
            <w:vAlign w:val="center"/>
            <w:hideMark/>
          </w:tcPr>
          <w:p w14:paraId="59580ABC" w14:textId="77777777" w:rsidR="002D0F2E" w:rsidRPr="002D0F2E" w:rsidRDefault="002D0F2E" w:rsidP="002D0F2E">
            <w:pPr>
              <w:rPr>
                <w:sz w:val="24"/>
                <w:szCs w:val="24"/>
              </w:rPr>
            </w:pPr>
            <w:r w:rsidRPr="002D0F2E">
              <w:rPr>
                <w:b/>
                <w:bCs/>
                <w:sz w:val="24"/>
                <w:szCs w:val="24"/>
              </w:rPr>
              <w:t>360° Feedback Implementation</w:t>
            </w:r>
          </w:p>
        </w:tc>
        <w:tc>
          <w:tcPr>
            <w:tcW w:w="0" w:type="auto"/>
            <w:vAlign w:val="center"/>
            <w:hideMark/>
          </w:tcPr>
          <w:p w14:paraId="21A0AE82" w14:textId="77777777" w:rsidR="002D0F2E" w:rsidRPr="002D0F2E" w:rsidRDefault="002D0F2E" w:rsidP="002D0F2E">
            <w:pPr>
              <w:rPr>
                <w:sz w:val="24"/>
                <w:szCs w:val="24"/>
              </w:rPr>
            </w:pPr>
            <w:r w:rsidRPr="002D0F2E">
              <w:rPr>
                <w:sz w:val="24"/>
                <w:szCs w:val="24"/>
              </w:rPr>
              <w:t>Increase leadership effectiveness by systematic, multi-rater feedback.</w:t>
            </w:r>
            <w:r w:rsidRPr="002D0F2E">
              <w:rPr>
                <w:sz w:val="24"/>
                <w:szCs w:val="24"/>
              </w:rPr>
              <w:br/>
              <w:t xml:space="preserve">– </w:t>
            </w:r>
            <w:r w:rsidRPr="002D0F2E">
              <w:rPr>
                <w:i/>
                <w:iCs/>
                <w:sz w:val="24"/>
                <w:szCs w:val="24"/>
              </w:rPr>
              <w:t>Identify growth areas for leaders relative to new strategic demands.</w:t>
            </w:r>
            <w:r w:rsidRPr="002D0F2E">
              <w:rPr>
                <w:sz w:val="24"/>
                <w:szCs w:val="24"/>
              </w:rPr>
              <w:br/>
              <w:t xml:space="preserve">– </w:t>
            </w:r>
            <w:r w:rsidRPr="002D0F2E">
              <w:rPr>
                <w:i/>
                <w:iCs/>
                <w:sz w:val="24"/>
                <w:szCs w:val="24"/>
              </w:rPr>
              <w:t>Encourage an open, coaching-focused culture.</w:t>
            </w:r>
          </w:p>
        </w:tc>
        <w:tc>
          <w:tcPr>
            <w:tcW w:w="0" w:type="auto"/>
            <w:vAlign w:val="center"/>
            <w:hideMark/>
          </w:tcPr>
          <w:p w14:paraId="2C536D65" w14:textId="77777777" w:rsidR="002D0F2E" w:rsidRPr="002D0F2E" w:rsidRDefault="002D0F2E" w:rsidP="002D0F2E">
            <w:pPr>
              <w:rPr>
                <w:sz w:val="24"/>
                <w:szCs w:val="24"/>
              </w:rPr>
            </w:pPr>
            <w:r w:rsidRPr="002D0F2E">
              <w:rPr>
                <w:b/>
                <w:bCs/>
                <w:sz w:val="24"/>
                <w:szCs w:val="24"/>
              </w:rPr>
              <w:t>Comprehensive feedback gathered:</w:t>
            </w:r>
            <w:r w:rsidRPr="002D0F2E">
              <w:rPr>
                <w:sz w:val="24"/>
                <w:szCs w:val="24"/>
              </w:rPr>
              <w:t xml:space="preserve"> ~40 senior leaders (across SG, TH, ID) underwent 360 reviews in Oct–Nov</w:t>
            </w:r>
            <w:hyperlink r:id="rId66" w:history="1">
              <w:r w:rsidRPr="002D0F2E">
                <w:rPr>
                  <w:color w:val="464FEB"/>
                  <w:sz w:val="24"/>
                  <w:szCs w:val="24"/>
                </w:rPr>
                <w:t>[2]</w:t>
              </w:r>
            </w:hyperlink>
            <w:hyperlink r:id="rId67" w:history="1">
              <w:r w:rsidRPr="002D0F2E">
                <w:rPr>
                  <w:color w:val="464FEB"/>
                  <w:sz w:val="24"/>
                  <w:szCs w:val="24"/>
                </w:rPr>
                <w:t>[5]</w:t>
              </w:r>
            </w:hyperlink>
            <w:r w:rsidRPr="002D0F2E">
              <w:rPr>
                <w:sz w:val="24"/>
                <w:szCs w:val="24"/>
              </w:rPr>
              <w:t xml:space="preserve">. Each received a confidential report aggregating peer, subordinate, and </w:t>
            </w:r>
            <w:proofErr w:type="spellStart"/>
            <w:r w:rsidRPr="002D0F2E">
              <w:rPr>
                <w:sz w:val="24"/>
                <w:szCs w:val="24"/>
              </w:rPr>
              <w:t>self ratings</w:t>
            </w:r>
            <w:proofErr w:type="spellEnd"/>
            <w:r w:rsidRPr="002D0F2E">
              <w:rPr>
                <w:sz w:val="24"/>
                <w:szCs w:val="24"/>
              </w:rPr>
              <w:t xml:space="preserve">. </w:t>
            </w:r>
            <w:r w:rsidRPr="002D0F2E">
              <w:rPr>
                <w:sz w:val="24"/>
                <w:szCs w:val="24"/>
              </w:rPr>
              <w:br/>
            </w:r>
            <w:r w:rsidRPr="002D0F2E">
              <w:rPr>
                <w:b/>
                <w:bCs/>
                <w:sz w:val="24"/>
                <w:szCs w:val="24"/>
              </w:rPr>
              <w:t>Follow-up coaching:</w:t>
            </w:r>
            <w:r w:rsidRPr="002D0F2E">
              <w:rPr>
                <w:sz w:val="24"/>
                <w:szCs w:val="24"/>
              </w:rPr>
              <w:t xml:space="preserve"> External/internal coaches (including Employee A and P\&amp;O heads) debriefed all leaders by Dec</w:t>
            </w:r>
            <w:hyperlink r:id="rId68" w:history="1">
              <w:r w:rsidRPr="002D0F2E">
                <w:rPr>
                  <w:color w:val="464FEB"/>
                  <w:sz w:val="24"/>
                  <w:szCs w:val="24"/>
                </w:rPr>
                <w:t>[5]</w:t>
              </w:r>
            </w:hyperlink>
            <w:r w:rsidRPr="002D0F2E">
              <w:rPr>
                <w:sz w:val="24"/>
                <w:szCs w:val="24"/>
              </w:rPr>
              <w:t xml:space="preserve">. </w:t>
            </w:r>
            <w:r w:rsidRPr="002D0F2E">
              <w:rPr>
                <w:sz w:val="24"/>
                <w:szCs w:val="24"/>
              </w:rPr>
              <w:br/>
            </w:r>
            <w:r w:rsidRPr="002D0F2E">
              <w:rPr>
                <w:b/>
                <w:bCs/>
                <w:sz w:val="24"/>
                <w:szCs w:val="24"/>
              </w:rPr>
              <w:t>Notable improvements:</w:t>
            </w:r>
            <w:r w:rsidRPr="002D0F2E">
              <w:rPr>
                <w:sz w:val="24"/>
                <w:szCs w:val="24"/>
              </w:rPr>
              <w:t xml:space="preserve"> Several executives set concrete goals (e.g. improving “delegation” or “cross-team communication”), which are being tracked into 2026. Early anecdotal reports indicate higher team satisfaction with leaders who acted on feedback.</w:t>
            </w:r>
          </w:p>
        </w:tc>
      </w:tr>
    </w:tbl>
    <w:p w14:paraId="52DB7D85"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b/>
          <w:bCs/>
          <w:sz w:val="21"/>
          <w:szCs w:val="21"/>
        </w:rPr>
        <w:t>Table: Major 2025 Transformation Initiatives Led by Employee A – Objectives and Outcomes</w:t>
      </w:r>
    </w:p>
    <w:p w14:paraId="496B2AA3"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As the table shows, Employee A’s work delivered both </w:t>
      </w:r>
      <w:r w:rsidRPr="002D0F2E">
        <w:rPr>
          <w:rFonts w:ascii="Segoe UI" w:hAnsi="Segoe UI" w:cs="Segoe UI"/>
          <w:b/>
          <w:bCs/>
          <w:sz w:val="21"/>
          <w:szCs w:val="21"/>
        </w:rPr>
        <w:t>quantitative results</w:t>
      </w:r>
      <w:r w:rsidRPr="002D0F2E">
        <w:rPr>
          <w:rFonts w:ascii="Segoe UI" w:hAnsi="Segoe UI" w:cs="Segoe UI"/>
          <w:sz w:val="21"/>
          <w:szCs w:val="21"/>
        </w:rPr>
        <w:t xml:space="preserve"> (processes automated, programs completed) and </w:t>
      </w:r>
      <w:r w:rsidRPr="002D0F2E">
        <w:rPr>
          <w:rFonts w:ascii="Segoe UI" w:hAnsi="Segoe UI" w:cs="Segoe UI"/>
          <w:b/>
          <w:bCs/>
          <w:sz w:val="21"/>
          <w:szCs w:val="21"/>
        </w:rPr>
        <w:t>qualitative outcomes</w:t>
      </w:r>
      <w:r w:rsidRPr="002D0F2E">
        <w:rPr>
          <w:rFonts w:ascii="Segoe UI" w:hAnsi="Segoe UI" w:cs="Segoe UI"/>
          <w:sz w:val="21"/>
          <w:szCs w:val="21"/>
        </w:rPr>
        <w:t xml:space="preserve"> (stronger culture, better alignment) that position TPC for sustained transformation. These efforts directly supported the overarching OKR of transforming TPC in line with macro and tech shifts</w:t>
      </w:r>
      <w:hyperlink r:id="rId69" w:history="1">
        <w:r w:rsidRPr="002D0F2E">
          <w:rPr>
            <w:rFonts w:ascii="Segoe UI" w:hAnsi="Segoe UI" w:cs="Segoe UI"/>
            <w:color w:val="464FEB"/>
            <w:sz w:val="21"/>
            <w:szCs w:val="21"/>
          </w:rPr>
          <w:t>[1]</w:t>
        </w:r>
      </w:hyperlink>
      <w:r w:rsidRPr="002D0F2E">
        <w:rPr>
          <w:rFonts w:ascii="Segoe UI" w:hAnsi="Segoe UI" w:cs="Segoe UI"/>
          <w:sz w:val="21"/>
          <w:szCs w:val="21"/>
        </w:rPr>
        <w:t xml:space="preserve">. For example, automating workflows and centralizing data not only cut costs (addressing economic pressures) but also improved TPC’s agility in responding to market changes. Likewise, upskilling leadership through QLFP and feedback ensures TPC’s decision-makers are attuned to global trends (like ESG investing or digital disruption), thereby enabling the company to </w:t>
      </w:r>
      <w:r w:rsidRPr="002D0F2E">
        <w:rPr>
          <w:rFonts w:ascii="Segoe UI" w:hAnsi="Segoe UI" w:cs="Segoe UI"/>
          <w:i/>
          <w:iCs/>
          <w:sz w:val="21"/>
          <w:szCs w:val="21"/>
        </w:rPr>
        <w:t>capitalize</w:t>
      </w:r>
      <w:r w:rsidRPr="002D0F2E">
        <w:rPr>
          <w:rFonts w:ascii="Segoe UI" w:hAnsi="Segoe UI" w:cs="Segoe UI"/>
          <w:sz w:val="21"/>
          <w:szCs w:val="21"/>
        </w:rPr>
        <w:t xml:space="preserve"> on those trends rather than fall behind.</w:t>
      </w:r>
    </w:p>
    <w:p w14:paraId="2F4F8875" w14:textId="77777777" w:rsidR="002D0F2E" w:rsidRPr="002D0F2E" w:rsidRDefault="002D0F2E" w:rsidP="002D0F2E">
      <w:pPr>
        <w:spacing w:before="100" w:beforeAutospacing="1" w:after="100" w:afterAutospacing="1" w:line="300" w:lineRule="atLeast"/>
        <w:outlineLvl w:val="1"/>
        <w:rPr>
          <w:rFonts w:ascii="Segoe UI" w:hAnsi="Segoe UI" w:cs="Segoe UI"/>
          <w:b/>
          <w:bCs/>
          <w:sz w:val="36"/>
          <w:szCs w:val="36"/>
        </w:rPr>
      </w:pPr>
      <w:r w:rsidRPr="002D0F2E">
        <w:rPr>
          <w:rFonts w:ascii="Segoe UI" w:hAnsi="Segoe UI" w:cs="Segoe UI"/>
          <w:b/>
          <w:bCs/>
          <w:sz w:val="36"/>
          <w:szCs w:val="36"/>
        </w:rPr>
        <w:t>Conclusion</w:t>
      </w:r>
    </w:p>
    <w:p w14:paraId="1932B0CC"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In 2025, Employee A emerged as a </w:t>
      </w:r>
      <w:r w:rsidRPr="002D0F2E">
        <w:rPr>
          <w:rFonts w:ascii="Segoe UI" w:hAnsi="Segoe UI" w:cs="Segoe UI"/>
          <w:b/>
          <w:bCs/>
          <w:sz w:val="21"/>
          <w:szCs w:val="21"/>
        </w:rPr>
        <w:t>key transformation leader</w:t>
      </w:r>
      <w:r w:rsidRPr="002D0F2E">
        <w:rPr>
          <w:rFonts w:ascii="Segoe UI" w:hAnsi="Segoe UI" w:cs="Segoe UI"/>
          <w:sz w:val="21"/>
          <w:szCs w:val="21"/>
        </w:rPr>
        <w:t xml:space="preserve"> at TPC, bridging corporate strategy with execution on the ground. His contributions spanned from high-level planning (curating transformation OKRs and data strategy</w:t>
      </w:r>
      <w:hyperlink r:id="rId70" w:history="1">
        <w:r w:rsidRPr="002D0F2E">
          <w:rPr>
            <w:rFonts w:ascii="Segoe UI" w:hAnsi="Segoe UI" w:cs="Segoe UI"/>
            <w:color w:val="464FEB"/>
            <w:sz w:val="21"/>
            <w:szCs w:val="21"/>
          </w:rPr>
          <w:t>[1]</w:t>
        </w:r>
      </w:hyperlink>
      <w:hyperlink r:id="rId71" w:history="1">
        <w:r w:rsidRPr="002D0F2E">
          <w:rPr>
            <w:rFonts w:ascii="Segoe UI" w:hAnsi="Segoe UI" w:cs="Segoe UI"/>
            <w:color w:val="464FEB"/>
            <w:sz w:val="21"/>
            <w:szCs w:val="21"/>
          </w:rPr>
          <w:t>[3]</w:t>
        </w:r>
      </w:hyperlink>
      <w:r w:rsidRPr="002D0F2E">
        <w:rPr>
          <w:rFonts w:ascii="Segoe UI" w:hAnsi="Segoe UI" w:cs="Segoe UI"/>
          <w:sz w:val="21"/>
          <w:szCs w:val="21"/>
        </w:rPr>
        <w:t xml:space="preserve">) to hands-on program delivery (rolling out new systems and training cohorts of leaders). Throughout, Employee A kept a sharp focus on </w:t>
      </w:r>
      <w:r w:rsidRPr="002D0F2E">
        <w:rPr>
          <w:rFonts w:ascii="Segoe UI" w:hAnsi="Segoe UI" w:cs="Segoe UI"/>
          <w:b/>
          <w:bCs/>
          <w:sz w:val="21"/>
          <w:szCs w:val="21"/>
        </w:rPr>
        <w:t>leveraging macro trends as opportunities</w:t>
      </w:r>
      <w:r w:rsidRPr="002D0F2E">
        <w:rPr>
          <w:rFonts w:ascii="Segoe UI" w:hAnsi="Segoe UI" w:cs="Segoe UI"/>
          <w:sz w:val="21"/>
          <w:szCs w:val="21"/>
        </w:rPr>
        <w:t xml:space="preserve"> – whether it was harnessing AI to streamline operations, or inculcating mindsets for sustainable growth in an uncertain world.</w:t>
      </w:r>
    </w:p>
    <w:p w14:paraId="48B52FBE"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By year’s end, TPC’s businesses and functions were measurably more </w:t>
      </w:r>
      <w:r w:rsidRPr="002D0F2E">
        <w:rPr>
          <w:rFonts w:ascii="Segoe UI" w:hAnsi="Segoe UI" w:cs="Segoe UI"/>
          <w:b/>
          <w:bCs/>
          <w:sz w:val="21"/>
          <w:szCs w:val="21"/>
        </w:rPr>
        <w:t>digitized, data-driven, and people-centric</w:t>
      </w:r>
      <w:r w:rsidRPr="002D0F2E">
        <w:rPr>
          <w:rFonts w:ascii="Segoe UI" w:hAnsi="Segoe UI" w:cs="Segoe UI"/>
          <w:sz w:val="21"/>
          <w:szCs w:val="21"/>
        </w:rPr>
        <w:t xml:space="preserve"> thanks to Employee A’s initiatives. The finance and admin functions saw productivity gains from automation, the HR function evolved into a strategic partner with rich analytics, and the leadership bench grew more future-ready. These changes did not happen in isolation; critically, Employee A ensured they reinforced each other under a unifying transformation narrative. For instance, the data consolidation he pushed enabled the AI tools in performance management to work effectively</w:t>
      </w:r>
      <w:hyperlink r:id="rId72" w:history="1">
        <w:r w:rsidRPr="002D0F2E">
          <w:rPr>
            <w:rFonts w:ascii="Segoe UI" w:hAnsi="Segoe UI" w:cs="Segoe UI"/>
            <w:color w:val="464FEB"/>
            <w:sz w:val="21"/>
            <w:szCs w:val="21"/>
          </w:rPr>
          <w:t>[3]</w:t>
        </w:r>
      </w:hyperlink>
      <w:hyperlink r:id="rId73" w:history="1">
        <w:r w:rsidRPr="002D0F2E">
          <w:rPr>
            <w:rFonts w:ascii="Segoe UI" w:hAnsi="Segoe UI" w:cs="Segoe UI"/>
            <w:color w:val="464FEB"/>
            <w:sz w:val="21"/>
            <w:szCs w:val="21"/>
          </w:rPr>
          <w:t>[3]</w:t>
        </w:r>
      </w:hyperlink>
      <w:r w:rsidRPr="002D0F2E">
        <w:rPr>
          <w:rFonts w:ascii="Segoe UI" w:hAnsi="Segoe UI" w:cs="Segoe UI"/>
          <w:sz w:val="21"/>
          <w:szCs w:val="21"/>
        </w:rPr>
        <w:t>, and the culture of openness from leadership training made the adoption of new digital processes smoother.</w:t>
      </w:r>
    </w:p>
    <w:p w14:paraId="69F55740"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Perhaps Employee A’s greatest impact was in </w:t>
      </w:r>
      <w:r w:rsidRPr="002D0F2E">
        <w:rPr>
          <w:rFonts w:ascii="Segoe UI" w:hAnsi="Segoe UI" w:cs="Segoe UI"/>
          <w:b/>
          <w:bCs/>
          <w:sz w:val="21"/>
          <w:szCs w:val="21"/>
        </w:rPr>
        <w:t>future-proofing TPC’s human capital</w:t>
      </w:r>
      <w:r w:rsidRPr="002D0F2E">
        <w:rPr>
          <w:rFonts w:ascii="Segoe UI" w:hAnsi="Segoe UI" w:cs="Segoe UI"/>
          <w:sz w:val="21"/>
          <w:szCs w:val="21"/>
        </w:rPr>
        <w:t>. He anticipated the skills and mindsets the company would need to thrive amid technological upheaval and economic volatility, and proactively built those capabilities in 2025. This proactive stance – turning macro shifts into a catalyst for internal change – exemplifies the very essence of “capitalizing on macro and technological environment shifts.” As a result, TPC enters 2026 better equipped to pursue new opportunities (such as investing in AI-enabled businesses or expanding its well-being ecosystem) with an organization that is agile and aligned.</w:t>
      </w:r>
    </w:p>
    <w:p w14:paraId="04211A2E" w14:textId="77777777" w:rsidR="002D0F2E" w:rsidRPr="002D0F2E" w:rsidRDefault="002D0F2E" w:rsidP="002D0F2E">
      <w:pPr>
        <w:spacing w:before="100" w:beforeAutospacing="1" w:after="100" w:afterAutospacing="1" w:line="300" w:lineRule="atLeast"/>
        <w:rPr>
          <w:rFonts w:ascii="Segoe UI" w:hAnsi="Segoe UI" w:cs="Segoe UI"/>
          <w:sz w:val="21"/>
          <w:szCs w:val="21"/>
        </w:rPr>
      </w:pPr>
      <w:r w:rsidRPr="002D0F2E">
        <w:rPr>
          <w:rFonts w:ascii="Segoe UI" w:hAnsi="Segoe UI" w:cs="Segoe UI"/>
          <w:sz w:val="21"/>
          <w:szCs w:val="21"/>
        </w:rPr>
        <w:t xml:space="preserve">In summary, </w:t>
      </w:r>
      <w:r w:rsidRPr="002D0F2E">
        <w:rPr>
          <w:rFonts w:ascii="Segoe UI" w:hAnsi="Segoe UI" w:cs="Segoe UI"/>
          <w:b/>
          <w:bCs/>
          <w:sz w:val="21"/>
          <w:szCs w:val="21"/>
        </w:rPr>
        <w:t>Employee A’s 2025 initiatives significantly advanced TPC’s transformation</w:t>
      </w:r>
      <w:r w:rsidRPr="002D0F2E">
        <w:rPr>
          <w:rFonts w:ascii="Segoe UI" w:hAnsi="Segoe UI" w:cs="Segoe UI"/>
          <w:sz w:val="21"/>
          <w:szCs w:val="21"/>
        </w:rPr>
        <w:t xml:space="preserve"> into a more innovative, efficient, and resilient enterprise. By driving strategic decisions (like embracing enterprise AI and revamping talent development) and delivering tangible outcomes, he ensured that TPC not only kept pace with the changing world, but indeed </w:t>
      </w:r>
      <w:r w:rsidRPr="002D0F2E">
        <w:rPr>
          <w:rFonts w:ascii="Segoe UI" w:hAnsi="Segoe UI" w:cs="Segoe UI"/>
          <w:i/>
          <w:iCs/>
          <w:sz w:val="21"/>
          <w:szCs w:val="21"/>
        </w:rPr>
        <w:t>set itself up to lead</w:t>
      </w:r>
      <w:r w:rsidRPr="002D0F2E">
        <w:rPr>
          <w:rFonts w:ascii="Segoe UI" w:hAnsi="Segoe UI" w:cs="Segoe UI"/>
          <w:sz w:val="21"/>
          <w:szCs w:val="21"/>
        </w:rPr>
        <w:t xml:space="preserve"> in the new era</w:t>
      </w:r>
      <w:hyperlink r:id="rId74" w:history="1">
        <w:r w:rsidRPr="002D0F2E">
          <w:rPr>
            <w:rFonts w:ascii="Segoe UI" w:hAnsi="Segoe UI" w:cs="Segoe UI"/>
            <w:color w:val="464FEB"/>
            <w:sz w:val="21"/>
            <w:szCs w:val="21"/>
          </w:rPr>
          <w:t>[1]</w:t>
        </w:r>
      </w:hyperlink>
      <w:r w:rsidRPr="002D0F2E">
        <w:rPr>
          <w:rFonts w:ascii="Segoe UI" w:hAnsi="Segoe UI" w:cs="Segoe UI"/>
          <w:sz w:val="21"/>
          <w:szCs w:val="21"/>
        </w:rPr>
        <w:t>. His work stands as a blueprint for how visionary leadership and diligent execution can translate macro trends into sustained corporate growth.</w:t>
      </w:r>
    </w:p>
    <w:p w14:paraId="04F607B8" w14:textId="77777777" w:rsidR="002D0F2E" w:rsidRPr="002D0F2E" w:rsidRDefault="002D0F2E" w:rsidP="002D0F2E">
      <w:pPr>
        <w:spacing w:line="300" w:lineRule="atLeast"/>
        <w:rPr>
          <w:rFonts w:ascii="Segoe UI Semibold" w:hAnsi="Segoe UI Semibold" w:cs="Segoe UI Semibold"/>
          <w:b/>
          <w:bCs/>
          <w:sz w:val="18"/>
          <w:szCs w:val="18"/>
        </w:rPr>
      </w:pPr>
      <w:r w:rsidRPr="002D0F2E">
        <w:rPr>
          <w:rFonts w:ascii="Segoe UI Semibold" w:hAnsi="Segoe UI Semibold" w:cs="Segoe UI Semibold"/>
          <w:b/>
          <w:bCs/>
          <w:sz w:val="18"/>
          <w:szCs w:val="18"/>
        </w:rPr>
        <w:br/>
        <w:t>References</w:t>
      </w:r>
    </w:p>
    <w:p w14:paraId="6D92C960" w14:textId="77777777" w:rsidR="002D0F2E" w:rsidRPr="002D0F2E" w:rsidRDefault="002D0F2E" w:rsidP="002D0F2E">
      <w:pPr>
        <w:spacing w:line="300" w:lineRule="atLeast"/>
        <w:rPr>
          <w:rFonts w:ascii="Segoe UI" w:hAnsi="Segoe UI" w:cs="Segoe UI"/>
          <w:sz w:val="21"/>
          <w:szCs w:val="21"/>
        </w:rPr>
      </w:pPr>
      <w:r w:rsidRPr="002D0F2E">
        <w:rPr>
          <w:rFonts w:ascii="Segoe UI" w:hAnsi="Segoe UI" w:cs="Segoe UI"/>
          <w:sz w:val="21"/>
          <w:szCs w:val="21"/>
        </w:rPr>
        <w:t xml:space="preserve">[1] </w:t>
      </w:r>
      <w:hyperlink r:id="rId75" w:history="1">
        <w:r w:rsidRPr="002D0F2E">
          <w:rPr>
            <w:rFonts w:ascii="Segoe UI" w:hAnsi="Segoe UI" w:cs="Segoe UI"/>
            <w:color w:val="464FEB"/>
            <w:sz w:val="21"/>
            <w:szCs w:val="21"/>
          </w:rPr>
          <w:t>Kenneth Tan in chat</w:t>
        </w:r>
      </w:hyperlink>
    </w:p>
    <w:p w14:paraId="3344562C" w14:textId="77777777" w:rsidR="002D0F2E" w:rsidRPr="002D0F2E" w:rsidRDefault="002D0F2E" w:rsidP="002D0F2E">
      <w:pPr>
        <w:spacing w:line="300" w:lineRule="atLeast"/>
        <w:rPr>
          <w:rFonts w:ascii="Segoe UI" w:hAnsi="Segoe UI" w:cs="Segoe UI"/>
          <w:sz w:val="21"/>
          <w:szCs w:val="21"/>
        </w:rPr>
      </w:pPr>
      <w:r w:rsidRPr="002D0F2E">
        <w:rPr>
          <w:rFonts w:ascii="Segoe UI" w:hAnsi="Segoe UI" w:cs="Segoe UI"/>
          <w:sz w:val="21"/>
          <w:szCs w:val="21"/>
        </w:rPr>
        <w:t xml:space="preserve">[2] </w:t>
      </w:r>
      <w:hyperlink r:id="rId76" w:history="1">
        <w:r w:rsidRPr="002D0F2E">
          <w:rPr>
            <w:rFonts w:ascii="Segoe UI" w:hAnsi="Segoe UI" w:cs="Segoe UI"/>
            <w:color w:val="464FEB"/>
            <w:sz w:val="21"/>
            <w:szCs w:val="21"/>
          </w:rPr>
          <w:t xml:space="preserve">Good </w:t>
        </w:r>
        <w:proofErr w:type="spellStart"/>
        <w:r w:rsidRPr="002D0F2E">
          <w:rPr>
            <w:rFonts w:ascii="Segoe UI" w:hAnsi="Segoe UI" w:cs="Segoe UI"/>
            <w:color w:val="464FEB"/>
            <w:sz w:val="21"/>
            <w:szCs w:val="21"/>
          </w:rPr>
          <w:t>Managemen</w:t>
        </w:r>
        <w:proofErr w:type="spellEnd"/>
        <w:r w:rsidRPr="002D0F2E">
          <w:rPr>
            <w:rFonts w:ascii="Segoe UI" w:hAnsi="Segoe UI" w:cs="Segoe UI"/>
            <w:color w:val="464FEB"/>
            <w:sz w:val="21"/>
            <w:szCs w:val="21"/>
          </w:rPr>
          <w:t xml:space="preserve"> Workshop 7</w:t>
        </w:r>
      </w:hyperlink>
    </w:p>
    <w:p w14:paraId="7C6C9DF5" w14:textId="77777777" w:rsidR="002936C5" w:rsidRPr="002936C5" w:rsidRDefault="002936C5" w:rsidP="002936C5">
      <w:pPr>
        <w:spacing w:before="100" w:beforeAutospacing="1" w:after="100" w:afterAutospacing="1" w:line="300" w:lineRule="atLeast"/>
        <w:rPr>
          <w:rFonts w:ascii="Segoe UI" w:hAnsi="Segoe UI" w:cs="Segoe UI"/>
          <w:sz w:val="21"/>
          <w:szCs w:val="21"/>
        </w:rPr>
      </w:pPr>
      <w:r w:rsidRPr="002936C5">
        <w:rPr>
          <w:rFonts w:ascii="Segoe UI" w:hAnsi="Segoe UI" w:cs="Segoe UI"/>
          <w:sz w:val="21"/>
          <w:szCs w:val="21"/>
        </w:rPr>
        <w:t>Certainly! Here's a concise summary of Employee A’s contributions to TPC’s transformation in 2025:</w:t>
      </w:r>
    </w:p>
    <w:p w14:paraId="6DF4A7ED" w14:textId="77777777" w:rsidR="002936C5" w:rsidRPr="002936C5" w:rsidRDefault="00977BB2" w:rsidP="002936C5">
      <w:pPr>
        <w:spacing w:line="300" w:lineRule="atLeast"/>
        <w:rPr>
          <w:rFonts w:ascii="Segoe UI" w:hAnsi="Segoe UI" w:cs="Segoe UI"/>
          <w:sz w:val="21"/>
          <w:szCs w:val="21"/>
        </w:rPr>
      </w:pPr>
      <w:r>
        <w:rPr>
          <w:rFonts w:ascii="Segoe UI" w:hAnsi="Segoe UI" w:cs="Segoe UI"/>
          <w:sz w:val="21"/>
          <w:szCs w:val="21"/>
        </w:rPr>
        <w:pict w14:anchorId="4AAF451C">
          <v:rect id="_x0000_i1026" style="width:0;height:1.5pt" o:hralign="center" o:hrstd="t" o:hr="t" fillcolor="#a0a0a0" stroked="f"/>
        </w:pict>
      </w:r>
    </w:p>
    <w:p w14:paraId="5DDB2CE7" w14:textId="77777777" w:rsidR="002936C5" w:rsidRPr="002936C5" w:rsidRDefault="002936C5" w:rsidP="002936C5">
      <w:pPr>
        <w:spacing w:before="100" w:beforeAutospacing="1" w:after="100" w:afterAutospacing="1" w:line="300" w:lineRule="atLeast"/>
        <w:outlineLvl w:val="2"/>
        <w:rPr>
          <w:rFonts w:ascii="Segoe UI" w:hAnsi="Segoe UI" w:cs="Segoe UI"/>
          <w:b/>
          <w:bCs/>
          <w:sz w:val="27"/>
          <w:szCs w:val="27"/>
        </w:rPr>
      </w:pPr>
      <w:r w:rsidRPr="002936C5">
        <w:rPr>
          <w:rFonts w:ascii="Segoe UI" w:hAnsi="Segoe UI" w:cs="Segoe UI"/>
          <w:b/>
          <w:bCs/>
          <w:sz w:val="27"/>
          <w:szCs w:val="27"/>
        </w:rPr>
        <w:t>Summary: Employee A’s 2025 Transformation Contributions at TPC</w:t>
      </w:r>
    </w:p>
    <w:p w14:paraId="3C5672DC" w14:textId="77777777" w:rsidR="002936C5" w:rsidRPr="002936C5" w:rsidRDefault="002936C5" w:rsidP="002936C5">
      <w:pPr>
        <w:spacing w:before="100" w:beforeAutospacing="1" w:after="100" w:afterAutospacing="1" w:line="300" w:lineRule="atLeast"/>
        <w:rPr>
          <w:rFonts w:ascii="Segoe UI" w:hAnsi="Segoe UI" w:cs="Segoe UI"/>
          <w:sz w:val="21"/>
          <w:szCs w:val="21"/>
        </w:rPr>
      </w:pPr>
      <w:r w:rsidRPr="002936C5">
        <w:rPr>
          <w:rFonts w:ascii="Segoe UI" w:hAnsi="Segoe UI" w:cs="Segoe UI"/>
          <w:sz w:val="21"/>
          <w:szCs w:val="21"/>
        </w:rPr>
        <w:t>In 2025, Employee A played a central role in transforming TPC’s businesses and functions by aligning them with macroeconomic shifts and technological advancements. His key contributions included:</w:t>
      </w:r>
    </w:p>
    <w:p w14:paraId="5B812CB3"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AI-Driven Performance Management</w:t>
      </w:r>
      <w:r w:rsidRPr="002936C5">
        <w:rPr>
          <w:rFonts w:ascii="Segoe UI" w:hAnsi="Segoe UI" w:cs="Segoe UI"/>
          <w:sz w:val="21"/>
          <w:szCs w:val="21"/>
        </w:rPr>
        <w:t xml:space="preserve">: Launched a digital twin model and </w:t>
      </w:r>
      <w:proofErr w:type="spellStart"/>
      <w:r w:rsidRPr="002936C5">
        <w:rPr>
          <w:rFonts w:ascii="Segoe UI" w:hAnsi="Segoe UI" w:cs="Segoe UI"/>
          <w:sz w:val="21"/>
          <w:szCs w:val="21"/>
        </w:rPr>
        <w:t>ePCG</w:t>
      </w:r>
      <w:proofErr w:type="spellEnd"/>
      <w:r w:rsidRPr="002936C5">
        <w:rPr>
          <w:rFonts w:ascii="Segoe UI" w:hAnsi="Segoe UI" w:cs="Segoe UI"/>
          <w:sz w:val="21"/>
          <w:szCs w:val="21"/>
        </w:rPr>
        <w:t xml:space="preserve"> system to streamline appraisals and enable data-driven talent insights.</w:t>
      </w:r>
    </w:p>
    <w:p w14:paraId="059CB383"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proofErr w:type="spellStart"/>
      <w:r w:rsidRPr="002936C5">
        <w:rPr>
          <w:rFonts w:ascii="Segoe UI" w:hAnsi="Segoe UI" w:cs="Segoe UI"/>
          <w:b/>
          <w:bCs/>
          <w:sz w:val="21"/>
          <w:szCs w:val="21"/>
        </w:rPr>
        <w:t>TalentVerse</w:t>
      </w:r>
      <w:proofErr w:type="spellEnd"/>
      <w:r w:rsidRPr="002936C5">
        <w:rPr>
          <w:rFonts w:ascii="Segoe UI" w:hAnsi="Segoe UI" w:cs="Segoe UI"/>
          <w:b/>
          <w:bCs/>
          <w:sz w:val="21"/>
          <w:szCs w:val="21"/>
        </w:rPr>
        <w:t xml:space="preserve"> &amp; AI Coaching</w:t>
      </w:r>
      <w:r w:rsidRPr="002936C5">
        <w:rPr>
          <w:rFonts w:ascii="Segoe UI" w:hAnsi="Segoe UI" w:cs="Segoe UI"/>
          <w:sz w:val="21"/>
          <w:szCs w:val="21"/>
        </w:rPr>
        <w:t>: Developed an AI-powered platform for personalized employee development and introduced AI-assisted coaching tools.</w:t>
      </w:r>
    </w:p>
    <w:p w14:paraId="679F4BF4"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Process Automation</w:t>
      </w:r>
      <w:r w:rsidRPr="002936C5">
        <w:rPr>
          <w:rFonts w:ascii="Segoe UI" w:hAnsi="Segoe UI" w:cs="Segoe UI"/>
          <w:sz w:val="21"/>
          <w:szCs w:val="21"/>
        </w:rPr>
        <w:t xml:space="preserve">: Digitized 24 workflows using </w:t>
      </w:r>
      <w:proofErr w:type="spellStart"/>
      <w:r w:rsidRPr="002936C5">
        <w:rPr>
          <w:rFonts w:ascii="Segoe UI" w:hAnsi="Segoe UI" w:cs="Segoe UI"/>
          <w:sz w:val="21"/>
          <w:szCs w:val="21"/>
        </w:rPr>
        <w:t>Yeeflow</w:t>
      </w:r>
      <w:proofErr w:type="spellEnd"/>
      <w:r w:rsidRPr="002936C5">
        <w:rPr>
          <w:rFonts w:ascii="Segoe UI" w:hAnsi="Segoe UI" w:cs="Segoe UI"/>
          <w:sz w:val="21"/>
          <w:szCs w:val="21"/>
        </w:rPr>
        <w:t>, significantly reducing manual overhead and improving operational efficiency.</w:t>
      </w:r>
    </w:p>
    <w:p w14:paraId="6531C5A7"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Data Strategy &amp; Integration</w:t>
      </w:r>
      <w:r w:rsidRPr="002936C5">
        <w:rPr>
          <w:rFonts w:ascii="Segoe UI" w:hAnsi="Segoe UI" w:cs="Segoe UI"/>
          <w:sz w:val="21"/>
          <w:szCs w:val="21"/>
        </w:rPr>
        <w:t>: Advocated for centralized data governance to support AI applications and break down silos across business units.</w:t>
      </w:r>
    </w:p>
    <w:p w14:paraId="417874BB"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Leadership Development</w:t>
      </w:r>
      <w:r w:rsidRPr="002936C5">
        <w:rPr>
          <w:rFonts w:ascii="Segoe UI" w:hAnsi="Segoe UI" w:cs="Segoe UI"/>
          <w:sz w:val="21"/>
          <w:szCs w:val="21"/>
        </w:rPr>
        <w:t>: Led the Quantum Leadership Program and Mindful Leadership Program to equip leaders with resilience and systems thinking.</w:t>
      </w:r>
    </w:p>
    <w:p w14:paraId="4522F456"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Culture Building</w:t>
      </w:r>
      <w:r w:rsidRPr="002936C5">
        <w:rPr>
          <w:rFonts w:ascii="Segoe UI" w:hAnsi="Segoe UI" w:cs="Segoe UI"/>
          <w:sz w:val="21"/>
          <w:szCs w:val="21"/>
        </w:rPr>
        <w:t>: Embedded the Good Management Model and Well-Being Mandate into daily operations, fostering collaboration and purpose alignment.</w:t>
      </w:r>
    </w:p>
    <w:p w14:paraId="69046F3E"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360° Feedback Implementation</w:t>
      </w:r>
      <w:r w:rsidRPr="002936C5">
        <w:rPr>
          <w:rFonts w:ascii="Segoe UI" w:hAnsi="Segoe UI" w:cs="Segoe UI"/>
          <w:sz w:val="21"/>
          <w:szCs w:val="21"/>
        </w:rPr>
        <w:t>: Rolled out multi-rater feedback and coaching for senior leaders, enhancing leadership effectiveness and self-awareness.</w:t>
      </w:r>
    </w:p>
    <w:p w14:paraId="6A2C7BDB" w14:textId="77777777" w:rsidR="002936C5" w:rsidRPr="002936C5" w:rsidRDefault="002936C5" w:rsidP="002936C5">
      <w:pPr>
        <w:numPr>
          <w:ilvl w:val="0"/>
          <w:numId w:val="7"/>
        </w:numPr>
        <w:spacing w:before="100" w:beforeAutospacing="1" w:after="100" w:afterAutospacing="1" w:line="300" w:lineRule="atLeast"/>
        <w:rPr>
          <w:rFonts w:ascii="Segoe UI" w:hAnsi="Segoe UI" w:cs="Segoe UI"/>
          <w:sz w:val="21"/>
          <w:szCs w:val="21"/>
        </w:rPr>
      </w:pPr>
      <w:r w:rsidRPr="002936C5">
        <w:rPr>
          <w:rFonts w:ascii="Segoe UI" w:hAnsi="Segoe UI" w:cs="Segoe UI"/>
          <w:b/>
          <w:bCs/>
          <w:sz w:val="21"/>
          <w:szCs w:val="21"/>
        </w:rPr>
        <w:t>Enterprise OKR Alignment</w:t>
      </w:r>
      <w:r w:rsidRPr="002936C5">
        <w:rPr>
          <w:rFonts w:ascii="Segoe UI" w:hAnsi="Segoe UI" w:cs="Segoe UI"/>
          <w:sz w:val="21"/>
          <w:szCs w:val="21"/>
        </w:rPr>
        <w:t>: Facilitated OKR training and tagging for AI analysis, ensuring strategic alignment across departments.</w:t>
      </w:r>
    </w:p>
    <w:p w14:paraId="479874B3" w14:textId="77777777" w:rsidR="002936C5" w:rsidRPr="002936C5" w:rsidRDefault="002936C5" w:rsidP="002936C5">
      <w:pPr>
        <w:spacing w:before="100" w:beforeAutospacing="1" w:after="100" w:afterAutospacing="1" w:line="300" w:lineRule="atLeast"/>
        <w:rPr>
          <w:rFonts w:ascii="Segoe UI" w:hAnsi="Segoe UI" w:cs="Segoe UI"/>
          <w:sz w:val="21"/>
          <w:szCs w:val="21"/>
        </w:rPr>
      </w:pPr>
      <w:r w:rsidRPr="002936C5">
        <w:rPr>
          <w:rFonts w:ascii="Segoe UI" w:hAnsi="Segoe UI" w:cs="Segoe UI"/>
          <w:sz w:val="21"/>
          <w:szCs w:val="21"/>
        </w:rPr>
        <w:t>These initiatives resulted in a more agile, data-driven, and future-ready organization, positioning TPC to lead in a rapidly evolving global landscape.</w:t>
      </w:r>
    </w:p>
    <w:p w14:paraId="3EC1BF55" w14:textId="77777777" w:rsidR="002936C5" w:rsidRPr="002936C5" w:rsidRDefault="00977BB2" w:rsidP="002936C5">
      <w:pPr>
        <w:spacing w:line="300" w:lineRule="atLeast"/>
        <w:rPr>
          <w:rFonts w:ascii="Segoe UI" w:hAnsi="Segoe UI" w:cs="Segoe UI"/>
          <w:sz w:val="21"/>
          <w:szCs w:val="21"/>
        </w:rPr>
      </w:pPr>
      <w:r>
        <w:rPr>
          <w:rFonts w:ascii="Segoe UI" w:hAnsi="Segoe UI" w:cs="Segoe UI"/>
          <w:sz w:val="21"/>
          <w:szCs w:val="21"/>
        </w:rPr>
        <w:pict w14:anchorId="40FB1BF7">
          <v:rect id="_x0000_i1027" style="width:0;height:1.5pt" o:hralign="center" o:hrstd="t" o:hr="t" fillcolor="#a0a0a0" stroked="f"/>
        </w:pict>
      </w:r>
    </w:p>
    <w:p w14:paraId="29D60496" w14:textId="77777777" w:rsidR="002936C5" w:rsidRPr="002936C5" w:rsidRDefault="002936C5" w:rsidP="002936C5">
      <w:pPr>
        <w:spacing w:before="100" w:beforeAutospacing="1" w:after="100" w:afterAutospacing="1" w:line="300" w:lineRule="atLeast"/>
        <w:rPr>
          <w:rFonts w:ascii="Segoe UI" w:hAnsi="Segoe UI" w:cs="Segoe UI"/>
          <w:sz w:val="21"/>
          <w:szCs w:val="21"/>
        </w:rPr>
      </w:pPr>
      <w:r w:rsidRPr="002936C5">
        <w:rPr>
          <w:rFonts w:ascii="Segoe UI" w:hAnsi="Segoe UI" w:cs="Segoe UI"/>
          <w:sz w:val="21"/>
          <w:szCs w:val="21"/>
        </w:rPr>
        <w:t>Would you like a visual summary or timeline version of this as well? Or a version tailored for presentation or board briefing?</w:t>
      </w:r>
    </w:p>
    <w:p w14:paraId="6E60AEBF"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p>
    <w:p w14:paraId="0E1CC7CE" w14:textId="77777777" w:rsidR="000A107E" w:rsidRPr="000A107E" w:rsidRDefault="000A107E" w:rsidP="000A107E">
      <w:pPr>
        <w:autoSpaceDE w:val="0"/>
        <w:autoSpaceDN w:val="0"/>
        <w:adjustRightInd w:val="0"/>
        <w:rPr>
          <w:rFonts w:ascii="Arial" w:eastAsia="DengXian" w:hAnsi="Arial" w:cs="Arial"/>
          <w:sz w:val="16"/>
          <w:szCs w:val="16"/>
          <w14:ligatures w14:val="standardContextual"/>
        </w:rPr>
      </w:pPr>
      <w:r w:rsidRPr="000A107E">
        <w:rPr>
          <w:rFonts w:ascii="Inter Medium" w:eastAsia="DengXian" w:hAnsi="Inter Medium" w:cs="Inter Medium"/>
          <w:color w:val="323232"/>
          <w:sz w:val="27"/>
          <w:szCs w:val="27"/>
          <w14:ligatures w14:val="standardContextual"/>
        </w:rPr>
        <w:t>Section B</w:t>
      </w:r>
      <w:r w:rsidRPr="000A107E">
        <w:rPr>
          <w:rFonts w:ascii="Inter Light" w:eastAsia="DengXian" w:hAnsi="Inter Light" w:cs="Inter Light"/>
          <w:color w:val="000000"/>
          <w:sz w:val="27"/>
          <w:szCs w:val="27"/>
          <w14:ligatures w14:val="standardContextual"/>
        </w:rPr>
        <w:t xml:space="preserve">: </w:t>
      </w:r>
      <w:r w:rsidRPr="000A107E">
        <w:rPr>
          <w:rFonts w:ascii="Inter Medium" w:eastAsia="DengXian" w:hAnsi="Inter Medium" w:cs="Inter Medium"/>
          <w:color w:val="323232"/>
          <w:sz w:val="27"/>
          <w:szCs w:val="27"/>
          <w14:ligatures w14:val="standardContextual"/>
        </w:rPr>
        <w:t xml:space="preserve">MANAGEMENT COMPETENCIES IN QUADRUPLE ORGANIZATION (Grade 8 and Above) </w:t>
      </w:r>
    </w:p>
    <w:p w14:paraId="0129EB67" w14:textId="77777777" w:rsidR="000A107E" w:rsidRPr="000A107E" w:rsidRDefault="000A107E" w:rsidP="000A107E">
      <w:pPr>
        <w:autoSpaceDE w:val="0"/>
        <w:autoSpaceDN w:val="0"/>
        <w:adjustRightInd w:val="0"/>
        <w:rPr>
          <w:rFonts w:ascii="Inter Medium" w:eastAsia="DengXian" w:hAnsi="Inter Medium" w:cs="Inter Medium"/>
          <w:color w:val="041B44"/>
          <w:sz w:val="21"/>
          <w:szCs w:val="21"/>
          <w14:ligatures w14:val="standardContextual"/>
        </w:rPr>
      </w:pPr>
    </w:p>
    <w:p w14:paraId="40387F6C" w14:textId="77777777" w:rsidR="000A107E" w:rsidRPr="000A107E" w:rsidRDefault="000A107E" w:rsidP="000A107E">
      <w:pPr>
        <w:numPr>
          <w:ilvl w:val="0"/>
          <w:numId w:val="2"/>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NETWORK &amp; BUSINESS DEVELOPMENT </w:t>
      </w:r>
    </w:p>
    <w:p w14:paraId="527D2422" w14:textId="77777777" w:rsidR="000A107E" w:rsidRPr="000A107E" w:rsidRDefault="000A107E" w:rsidP="000A107E">
      <w:pPr>
        <w:numPr>
          <w:ilvl w:val="0"/>
          <w:numId w:val="2"/>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STRATEGY &amp; INVESTMENT </w:t>
      </w:r>
    </w:p>
    <w:p w14:paraId="25DFFFC0" w14:textId="77777777" w:rsidR="000A107E" w:rsidRPr="000A107E" w:rsidRDefault="000A107E" w:rsidP="000A107E">
      <w:pPr>
        <w:numPr>
          <w:ilvl w:val="0"/>
          <w:numId w:val="2"/>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FINANCIAL &amp; PROCESS MANAGEMENT </w:t>
      </w:r>
    </w:p>
    <w:p w14:paraId="1D632299" w14:textId="77777777" w:rsidR="000A107E" w:rsidRPr="000A107E" w:rsidRDefault="000A107E" w:rsidP="000A107E">
      <w:pPr>
        <w:numPr>
          <w:ilvl w:val="0"/>
          <w:numId w:val="2"/>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PEOPLE &amp; ORGANIZATION </w:t>
      </w:r>
    </w:p>
    <w:p w14:paraId="7F3303BF" w14:textId="77777777" w:rsidR="000A107E" w:rsidRPr="000A107E" w:rsidRDefault="000A107E" w:rsidP="000A107E">
      <w:pPr>
        <w:numPr>
          <w:ilvl w:val="0"/>
          <w:numId w:val="2"/>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EVOLUTIONARY COMPETENCIES </w:t>
      </w:r>
    </w:p>
    <w:p w14:paraId="2046DEBE"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Here’s a feedback summary on Employee A’s contributions across the five dimensions you mentioned:</w:t>
      </w:r>
    </w:p>
    <w:p w14:paraId="59DBDD83" w14:textId="77777777" w:rsidR="00197B99" w:rsidRPr="00197B99" w:rsidRDefault="00977BB2" w:rsidP="00197B99">
      <w:pPr>
        <w:pStyle w:val="ListParagraph"/>
        <w:numPr>
          <w:ilvl w:val="0"/>
          <w:numId w:val="2"/>
        </w:numPr>
        <w:spacing w:line="300" w:lineRule="atLeast"/>
        <w:rPr>
          <w:rFonts w:ascii="Segoe UI" w:hAnsi="Segoe UI" w:cs="Segoe UI"/>
          <w:sz w:val="21"/>
          <w:szCs w:val="21"/>
        </w:rPr>
      </w:pPr>
      <w:r>
        <w:pict w14:anchorId="4917605A">
          <v:rect id="_x0000_i1028" style="width:0;height:1.5pt" o:hralign="center" o:hrstd="t" o:hr="t" fillcolor="#a0a0a0" stroked="f"/>
        </w:pict>
      </w:r>
    </w:p>
    <w:p w14:paraId="62CDD729" w14:textId="77777777" w:rsidR="00197B99" w:rsidRDefault="00197B99" w:rsidP="00197B99">
      <w:pPr>
        <w:pStyle w:val="Heading3"/>
        <w:numPr>
          <w:ilvl w:val="0"/>
          <w:numId w:val="2"/>
        </w:numPr>
        <w:spacing w:line="300" w:lineRule="atLeast"/>
        <w:rPr>
          <w:rFonts w:ascii="Segoe UI" w:hAnsi="Segoe UI" w:cs="Segoe UI"/>
          <w:sz w:val="27"/>
          <w:szCs w:val="27"/>
        </w:rPr>
      </w:pPr>
      <w:r>
        <w:rPr>
          <w:rFonts w:ascii="Segoe UI" w:hAnsi="Segoe UI" w:cs="Segoe UI"/>
        </w:rPr>
        <w:t>Feedback on Employee A’s 2025 Contributions</w:t>
      </w:r>
    </w:p>
    <w:p w14:paraId="0DC4214E" w14:textId="77777777" w:rsidR="00197B99" w:rsidRDefault="00197B99" w:rsidP="00197B99">
      <w:pPr>
        <w:pStyle w:val="Heading4"/>
        <w:numPr>
          <w:ilvl w:val="0"/>
          <w:numId w:val="2"/>
        </w:numPr>
        <w:spacing w:line="300" w:lineRule="atLeast"/>
        <w:rPr>
          <w:rFonts w:ascii="Segoe UI" w:hAnsi="Segoe UI" w:cs="Segoe UI"/>
        </w:rPr>
      </w:pPr>
      <w:r>
        <w:rPr>
          <w:rFonts w:ascii="Segoe UI" w:hAnsi="Segoe UI" w:cs="Segoe UI"/>
        </w:rPr>
        <w:t xml:space="preserve">1. </w:t>
      </w:r>
      <w:r>
        <w:rPr>
          <w:rStyle w:val="Strong"/>
          <w:rFonts w:ascii="Segoe UI" w:hAnsi="Segoe UI" w:cs="Segoe UI"/>
          <w:b w:val="0"/>
          <w:bCs w:val="0"/>
        </w:rPr>
        <w:t>Network &amp; Business Development</w:t>
      </w:r>
    </w:p>
    <w:p w14:paraId="383E65E8"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 xml:space="preserve">Employee A demonstrated strong capability in building strategic networks and partnerships. He cultivated relationships with educational institutions (e.g. SUSS, SMU, MOE) to raise Octave Institute’s credibility and supported TPC’s positioning in impact ecosystems through initiatives like </w:t>
      </w:r>
      <w:proofErr w:type="spellStart"/>
      <w:r>
        <w:rPr>
          <w:rFonts w:ascii="Segoe UI" w:hAnsi="Segoe UI" w:cs="Segoe UI"/>
          <w:sz w:val="21"/>
          <w:szCs w:val="21"/>
        </w:rPr>
        <w:t>TalentVerse</w:t>
      </w:r>
      <w:proofErr w:type="spellEnd"/>
      <w:r>
        <w:rPr>
          <w:rFonts w:ascii="Segoe UI" w:hAnsi="Segoe UI" w:cs="Segoe UI"/>
          <w:sz w:val="21"/>
          <w:szCs w:val="21"/>
        </w:rPr>
        <w:t xml:space="preserve"> and Impact Week. His efforts helped expand TPC’s visibility and influence across sectors aligned with well-being, sustainability, and innovation.</w:t>
      </w:r>
    </w:p>
    <w:p w14:paraId="4CD85471" w14:textId="77777777" w:rsidR="00197B99" w:rsidRDefault="00197B99" w:rsidP="00197B99">
      <w:pPr>
        <w:pStyle w:val="Heading4"/>
        <w:numPr>
          <w:ilvl w:val="0"/>
          <w:numId w:val="2"/>
        </w:numPr>
        <w:spacing w:line="300" w:lineRule="atLeast"/>
        <w:rPr>
          <w:rFonts w:ascii="Segoe UI" w:hAnsi="Segoe UI" w:cs="Segoe UI"/>
          <w:sz w:val="24"/>
          <w:szCs w:val="24"/>
        </w:rPr>
      </w:pPr>
      <w:r>
        <w:rPr>
          <w:rFonts w:ascii="Segoe UI" w:hAnsi="Segoe UI" w:cs="Segoe UI"/>
        </w:rPr>
        <w:t xml:space="preserve">2. </w:t>
      </w:r>
      <w:r>
        <w:rPr>
          <w:rStyle w:val="Strong"/>
          <w:rFonts w:ascii="Segoe UI" w:hAnsi="Segoe UI" w:cs="Segoe UI"/>
          <w:b w:val="0"/>
          <w:bCs w:val="0"/>
        </w:rPr>
        <w:t>Strategy &amp; Investment</w:t>
      </w:r>
    </w:p>
    <w:p w14:paraId="222C40C1"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Employee A played a key role in shaping and executing transformation strategy. He curated enterprise-wide OKRs linked to macro and technological shifts, advocated for data-driven decision-making, and supported strategic planning workshops. His leadership in launching the Quantum Leadership Program and integrating AI into performance systems reflects a forward-looking approach to investment in organizational capabilities.</w:t>
      </w:r>
    </w:p>
    <w:p w14:paraId="16BCED74" w14:textId="77777777" w:rsidR="00197B99" w:rsidRDefault="00197B99" w:rsidP="00197B99">
      <w:pPr>
        <w:pStyle w:val="Heading4"/>
        <w:numPr>
          <w:ilvl w:val="0"/>
          <w:numId w:val="2"/>
        </w:numPr>
        <w:spacing w:line="300" w:lineRule="atLeast"/>
        <w:rPr>
          <w:rFonts w:ascii="Segoe UI" w:hAnsi="Segoe UI" w:cs="Segoe UI"/>
          <w:sz w:val="24"/>
          <w:szCs w:val="24"/>
        </w:rPr>
      </w:pPr>
      <w:r>
        <w:rPr>
          <w:rFonts w:ascii="Segoe UI" w:hAnsi="Segoe UI" w:cs="Segoe UI"/>
        </w:rPr>
        <w:t xml:space="preserve">3. </w:t>
      </w:r>
      <w:r>
        <w:rPr>
          <w:rStyle w:val="Strong"/>
          <w:rFonts w:ascii="Segoe UI" w:hAnsi="Segoe UI" w:cs="Segoe UI"/>
          <w:b w:val="0"/>
          <w:bCs w:val="0"/>
        </w:rPr>
        <w:t>Financial &amp; Process Management</w:t>
      </w:r>
    </w:p>
    <w:p w14:paraId="68EE3D9A"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 xml:space="preserve">Employee A contributed to operational efficiency by digitizing 24 workflows using </w:t>
      </w:r>
      <w:proofErr w:type="spellStart"/>
      <w:r>
        <w:rPr>
          <w:rFonts w:ascii="Segoe UI" w:hAnsi="Segoe UI" w:cs="Segoe UI"/>
          <w:sz w:val="21"/>
          <w:szCs w:val="21"/>
        </w:rPr>
        <w:t>Yeeflow</w:t>
      </w:r>
      <w:proofErr w:type="spellEnd"/>
      <w:r>
        <w:rPr>
          <w:rFonts w:ascii="Segoe UI" w:hAnsi="Segoe UI" w:cs="Segoe UI"/>
          <w:sz w:val="21"/>
          <w:szCs w:val="21"/>
        </w:rPr>
        <w:t>, streamlining internal approvals and reducing manual overhead. His push for centralized data governance enabled better financial transparency and process integration across business units. These efforts supported cost control and improved responsiveness to organizational needs.</w:t>
      </w:r>
    </w:p>
    <w:p w14:paraId="16BE1B35" w14:textId="77777777" w:rsidR="00197B99" w:rsidRDefault="00197B99" w:rsidP="00197B99">
      <w:pPr>
        <w:pStyle w:val="Heading4"/>
        <w:numPr>
          <w:ilvl w:val="0"/>
          <w:numId w:val="2"/>
        </w:numPr>
        <w:spacing w:line="300" w:lineRule="atLeast"/>
        <w:rPr>
          <w:rFonts w:ascii="Segoe UI" w:hAnsi="Segoe UI" w:cs="Segoe UI"/>
          <w:sz w:val="24"/>
          <w:szCs w:val="24"/>
        </w:rPr>
      </w:pPr>
      <w:r>
        <w:rPr>
          <w:rFonts w:ascii="Segoe UI" w:hAnsi="Segoe UI" w:cs="Segoe UI"/>
        </w:rPr>
        <w:t xml:space="preserve">4. </w:t>
      </w:r>
      <w:r>
        <w:rPr>
          <w:rStyle w:val="Strong"/>
          <w:rFonts w:ascii="Segoe UI" w:hAnsi="Segoe UI" w:cs="Segoe UI"/>
          <w:b w:val="0"/>
          <w:bCs w:val="0"/>
        </w:rPr>
        <w:t>People &amp; Organization</w:t>
      </w:r>
    </w:p>
    <w:p w14:paraId="16268710"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 xml:space="preserve">Employee A led transformative initiatives in talent development, including the rollout of the </w:t>
      </w:r>
      <w:proofErr w:type="spellStart"/>
      <w:r>
        <w:rPr>
          <w:rFonts w:ascii="Segoe UI" w:hAnsi="Segoe UI" w:cs="Segoe UI"/>
          <w:sz w:val="21"/>
          <w:szCs w:val="21"/>
        </w:rPr>
        <w:t>ePCG</w:t>
      </w:r>
      <w:proofErr w:type="spellEnd"/>
      <w:r>
        <w:rPr>
          <w:rFonts w:ascii="Segoe UI" w:hAnsi="Segoe UI" w:cs="Segoe UI"/>
          <w:sz w:val="21"/>
          <w:szCs w:val="21"/>
        </w:rPr>
        <w:t xml:space="preserve"> appraisal system, 360° feedback, and AI coaching. He fostered a culture of continuous learning and self-awareness, aligning people practices with TPC’s well-being mandate. His work helped embed the Good Management Model and build leadership pipelines through programs like QLFP and MLP.</w:t>
      </w:r>
    </w:p>
    <w:p w14:paraId="5F183D3D" w14:textId="77777777" w:rsidR="00197B99" w:rsidRDefault="00197B99" w:rsidP="00197B99">
      <w:pPr>
        <w:pStyle w:val="Heading4"/>
        <w:numPr>
          <w:ilvl w:val="0"/>
          <w:numId w:val="2"/>
        </w:numPr>
        <w:spacing w:line="300" w:lineRule="atLeast"/>
        <w:rPr>
          <w:rFonts w:ascii="Segoe UI" w:hAnsi="Segoe UI" w:cs="Segoe UI"/>
          <w:sz w:val="24"/>
          <w:szCs w:val="24"/>
        </w:rPr>
      </w:pPr>
      <w:r>
        <w:rPr>
          <w:rFonts w:ascii="Segoe UI" w:hAnsi="Segoe UI" w:cs="Segoe UI"/>
        </w:rPr>
        <w:t xml:space="preserve">5. </w:t>
      </w:r>
      <w:r>
        <w:rPr>
          <w:rStyle w:val="Strong"/>
          <w:rFonts w:ascii="Segoe UI" w:hAnsi="Segoe UI" w:cs="Segoe UI"/>
          <w:b w:val="0"/>
          <w:bCs w:val="0"/>
        </w:rPr>
        <w:t>Evolutionary Competencies</w:t>
      </w:r>
    </w:p>
    <w:p w14:paraId="3FF2317D"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Employee A exemplified evolutionary leadership by anticipating future needs and embedding adaptive capabilities across TPC. He introduced systems thinking, quantum paradigms, and AI integration to prepare the organization for complexity and change. His initiatives reflect a deep understanding of how to evolve organizational mindsets, structures, and tools in response to global shifts.</w:t>
      </w:r>
    </w:p>
    <w:p w14:paraId="49616A91" w14:textId="77777777" w:rsidR="00197B99" w:rsidRPr="00197B99" w:rsidRDefault="00977BB2" w:rsidP="00197B99">
      <w:pPr>
        <w:pStyle w:val="ListParagraph"/>
        <w:numPr>
          <w:ilvl w:val="0"/>
          <w:numId w:val="2"/>
        </w:numPr>
        <w:spacing w:line="300" w:lineRule="atLeast"/>
        <w:rPr>
          <w:rFonts w:ascii="Segoe UI" w:hAnsi="Segoe UI" w:cs="Segoe UI"/>
          <w:sz w:val="21"/>
          <w:szCs w:val="21"/>
        </w:rPr>
      </w:pPr>
      <w:r>
        <w:pict w14:anchorId="20D82D19">
          <v:rect id="_x0000_i1029" style="width:0;height:1.5pt" o:hralign="center" o:hrstd="t" o:hr="t" fillcolor="#a0a0a0" stroked="f"/>
        </w:pict>
      </w:r>
    </w:p>
    <w:p w14:paraId="39421491" w14:textId="77777777" w:rsidR="00197B99" w:rsidRDefault="00197B99" w:rsidP="00197B99">
      <w:pPr>
        <w:pStyle w:val="NormalWeb"/>
        <w:numPr>
          <w:ilvl w:val="0"/>
          <w:numId w:val="2"/>
        </w:numPr>
        <w:spacing w:line="300" w:lineRule="atLeast"/>
        <w:rPr>
          <w:rFonts w:ascii="Segoe UI" w:hAnsi="Segoe UI" w:cs="Segoe UI"/>
          <w:sz w:val="21"/>
          <w:szCs w:val="21"/>
        </w:rPr>
      </w:pPr>
      <w:r>
        <w:rPr>
          <w:rFonts w:ascii="Segoe UI" w:hAnsi="Segoe UI" w:cs="Segoe UI"/>
          <w:sz w:val="21"/>
          <w:szCs w:val="21"/>
        </w:rPr>
        <w:t>Would you like this feedback formatted for performance review, board presentation, or leadership development planning?</w:t>
      </w:r>
    </w:p>
    <w:p w14:paraId="6323B11E" w14:textId="77777777" w:rsid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p>
    <w:p w14:paraId="1C2C3EEA" w14:textId="77777777" w:rsidR="00197B99" w:rsidRPr="000A107E" w:rsidRDefault="00197B99" w:rsidP="000A107E">
      <w:pPr>
        <w:autoSpaceDE w:val="0"/>
        <w:autoSpaceDN w:val="0"/>
        <w:adjustRightInd w:val="0"/>
        <w:rPr>
          <w:rFonts w:ascii="Inter Medium" w:eastAsia="DengXian" w:hAnsi="Inter Medium" w:cs="Inter Medium"/>
          <w:color w:val="323232"/>
          <w:sz w:val="27"/>
          <w:szCs w:val="27"/>
          <w14:ligatures w14:val="standardContextual"/>
        </w:rPr>
      </w:pPr>
    </w:p>
    <w:p w14:paraId="6B4EBA1E"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Section C</w:t>
      </w:r>
      <w:r w:rsidRPr="000A107E">
        <w:rPr>
          <w:rFonts w:ascii="Inter Light" w:eastAsia="DengXian" w:hAnsi="Inter Light" w:cs="Inter Light"/>
          <w:color w:val="000000"/>
          <w:sz w:val="27"/>
          <w:szCs w:val="27"/>
          <w14:ligatures w14:val="standardContextual"/>
        </w:rPr>
        <w:t xml:space="preserve">: </w:t>
      </w:r>
      <w:r w:rsidRPr="000A107E">
        <w:rPr>
          <w:rFonts w:ascii="Inter Medium" w:eastAsia="DengXian" w:hAnsi="Inter Medium" w:cs="Inter Medium"/>
          <w:color w:val="323232"/>
          <w:sz w:val="27"/>
          <w:szCs w:val="27"/>
          <w14:ligatures w14:val="standardContextual"/>
        </w:rPr>
        <w:t xml:space="preserve">ATTRIBUTES OF QUANTUM LEADERS IN QUADRUPLE ORGANIZATION </w:t>
      </w:r>
    </w:p>
    <w:p w14:paraId="4646F228"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Respects &amp; aligns with leadership’s vision &amp; values </w:t>
      </w:r>
    </w:p>
    <w:p w14:paraId="2AC4B9AE"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Supports others’ growth &amp; well-being through guidance &amp; care </w:t>
      </w:r>
    </w:p>
    <w:p w14:paraId="5814172F"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Believes in own potential &amp; contributions to own happiness &amp; success </w:t>
      </w:r>
    </w:p>
    <w:p w14:paraId="15CA5126"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Values collaboration, seeks harmony &amp; fosters teamwork [Mintzberg 5:Collaborative mindset] </w:t>
      </w:r>
    </w:p>
    <w:p w14:paraId="0D97E7F0"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Develops &amp; nurtures partnerships for collaboration &amp; synergy </w:t>
      </w:r>
    </w:p>
    <w:p w14:paraId="17A9A075"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Manages conflicts openly &amp; transparently </w:t>
      </w:r>
    </w:p>
    <w:p w14:paraId="617D59CE"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Seeks understanding &amp; alignment within the organizational context </w:t>
      </w:r>
    </w:p>
    <w:p w14:paraId="20EB219C"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Ethical management of resources with truthfulness, integrity &amp; accountability </w:t>
      </w:r>
    </w:p>
    <w:p w14:paraId="7775151E"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Seeks alternative perspectives &amp; turns ideas into practical results [Mintzberg 5:Analytical mindset] </w:t>
      </w:r>
    </w:p>
    <w:p w14:paraId="61B8099F"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Adapts to ambiguity &amp; pursues opportunities with perseverance [Mintzberg 5:Action mindset] </w:t>
      </w:r>
    </w:p>
    <w:p w14:paraId="6C55FDFD"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Proactively cultivate personal growth &amp; clarity of purpose </w:t>
      </w:r>
    </w:p>
    <w:p w14:paraId="39FDBBF6" w14:textId="77777777" w:rsidR="000A107E" w:rsidRPr="000A107E" w:rsidRDefault="000A107E" w:rsidP="000A107E">
      <w:pPr>
        <w:numPr>
          <w:ilvl w:val="0"/>
          <w:numId w:val="3"/>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 xml:space="preserve">Considers broader impact &amp; adopts a positive attitude [Mintzberg 5:Worldview mindset] </w:t>
      </w:r>
    </w:p>
    <w:p w14:paraId="56209951" w14:textId="77777777" w:rsidR="000A107E" w:rsidRDefault="000A107E" w:rsidP="000A107E">
      <w:pPr>
        <w:autoSpaceDE w:val="0"/>
        <w:autoSpaceDN w:val="0"/>
        <w:adjustRightInd w:val="0"/>
        <w:rPr>
          <w:rFonts w:ascii="Inter Medium" w:eastAsia="DengXian" w:hAnsi="Inter Medium" w:cs="Inter Medium"/>
          <w:color w:val="041B44"/>
          <w:sz w:val="21"/>
          <w:szCs w:val="21"/>
          <w14:ligatures w14:val="standardContextual"/>
        </w:rPr>
      </w:pPr>
    </w:p>
    <w:p w14:paraId="26FED093" w14:textId="77777777" w:rsidR="00EE6A92" w:rsidRPr="00EE6A92" w:rsidRDefault="00EE6A92" w:rsidP="00EE6A92">
      <w:pPr>
        <w:spacing w:before="100" w:beforeAutospacing="1" w:after="100" w:afterAutospacing="1" w:line="300" w:lineRule="atLeast"/>
        <w:outlineLvl w:val="0"/>
        <w:rPr>
          <w:rFonts w:ascii="Segoe UI" w:hAnsi="Segoe UI" w:cs="Segoe UI"/>
          <w:b/>
          <w:bCs/>
          <w:kern w:val="36"/>
          <w:sz w:val="48"/>
          <w:szCs w:val="48"/>
        </w:rPr>
      </w:pPr>
      <w:r w:rsidRPr="00EE6A92">
        <w:rPr>
          <w:rFonts w:ascii="Segoe UI" w:hAnsi="Segoe UI" w:cs="Segoe UI"/>
          <w:b/>
          <w:bCs/>
          <w:kern w:val="36"/>
          <w:sz w:val="48"/>
          <w:szCs w:val="48"/>
        </w:rPr>
        <w:t>Employee A’s 2025 Quantum Leadership Attributes – Assessment and Impact</w:t>
      </w:r>
    </w:p>
    <w:p w14:paraId="1894579E"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In 2025, </w:t>
      </w:r>
      <w:r w:rsidRPr="00EE6A92">
        <w:rPr>
          <w:rFonts w:ascii="Segoe UI" w:hAnsi="Segoe UI" w:cs="Segoe UI"/>
          <w:b/>
          <w:bCs/>
          <w:sz w:val="21"/>
          <w:szCs w:val="21"/>
        </w:rPr>
        <w:t>Dr. Employee A</w:t>
      </w:r>
      <w:r w:rsidRPr="00EE6A92">
        <w:rPr>
          <w:rFonts w:ascii="Segoe UI" w:hAnsi="Segoe UI" w:cs="Segoe UI"/>
          <w:sz w:val="21"/>
          <w:szCs w:val="21"/>
        </w:rPr>
        <w:t xml:space="preserve"> exemplified </w:t>
      </w:r>
      <w:r w:rsidRPr="00EE6A92">
        <w:rPr>
          <w:rFonts w:ascii="Segoe UI" w:hAnsi="Segoe UI" w:cs="Segoe UI"/>
          <w:i/>
          <w:iCs/>
          <w:sz w:val="21"/>
          <w:szCs w:val="21"/>
        </w:rPr>
        <w:t>“Quantum Leadership”</w:t>
      </w:r>
      <w:r w:rsidRPr="00EE6A92">
        <w:rPr>
          <w:rFonts w:ascii="Segoe UI" w:hAnsi="Segoe UI" w:cs="Segoe UI"/>
          <w:sz w:val="21"/>
          <w:szCs w:val="21"/>
        </w:rPr>
        <w:t xml:space="preserve"> – a holistic approach to leadership championed at TPC – through his </w:t>
      </w:r>
      <w:proofErr w:type="spellStart"/>
      <w:r w:rsidRPr="00EE6A92">
        <w:rPr>
          <w:rFonts w:ascii="Segoe UI" w:hAnsi="Segoe UI" w:cs="Segoe UI"/>
          <w:sz w:val="21"/>
          <w:szCs w:val="21"/>
        </w:rPr>
        <w:t>behaviors</w:t>
      </w:r>
      <w:proofErr w:type="spellEnd"/>
      <w:r w:rsidRPr="00EE6A92">
        <w:rPr>
          <w:rFonts w:ascii="Segoe UI" w:hAnsi="Segoe UI" w:cs="Segoe UI"/>
          <w:sz w:val="21"/>
          <w:szCs w:val="21"/>
        </w:rPr>
        <w:t xml:space="preserve"> and decisions. Quantum leadership in TPC’s context blends </w:t>
      </w:r>
      <w:r w:rsidRPr="00EE6A92">
        <w:rPr>
          <w:rFonts w:ascii="Segoe UI" w:hAnsi="Segoe UI" w:cs="Segoe UI"/>
          <w:b/>
          <w:bCs/>
          <w:sz w:val="21"/>
          <w:szCs w:val="21"/>
        </w:rPr>
        <w:t>purpose-driven values</w:t>
      </w:r>
      <w:r w:rsidRPr="00EE6A92">
        <w:rPr>
          <w:rFonts w:ascii="Segoe UI" w:hAnsi="Segoe UI" w:cs="Segoe UI"/>
          <w:sz w:val="21"/>
          <w:szCs w:val="21"/>
        </w:rPr>
        <w:t xml:space="preserve">, </w:t>
      </w:r>
      <w:r w:rsidRPr="00EE6A92">
        <w:rPr>
          <w:rFonts w:ascii="Segoe UI" w:hAnsi="Segoe UI" w:cs="Segoe UI"/>
          <w:b/>
          <w:bCs/>
          <w:sz w:val="21"/>
          <w:szCs w:val="21"/>
        </w:rPr>
        <w:t>people-centric development</w:t>
      </w:r>
      <w:r w:rsidRPr="00EE6A92">
        <w:rPr>
          <w:rFonts w:ascii="Segoe UI" w:hAnsi="Segoe UI" w:cs="Segoe UI"/>
          <w:sz w:val="21"/>
          <w:szCs w:val="21"/>
        </w:rPr>
        <w:t xml:space="preserve">, </w:t>
      </w:r>
      <w:r w:rsidRPr="00EE6A92">
        <w:rPr>
          <w:rFonts w:ascii="Segoe UI" w:hAnsi="Segoe UI" w:cs="Segoe UI"/>
          <w:b/>
          <w:bCs/>
          <w:sz w:val="21"/>
          <w:szCs w:val="21"/>
        </w:rPr>
        <w:t>self-awareness</w:t>
      </w:r>
      <w:r w:rsidRPr="00EE6A92">
        <w:rPr>
          <w:rFonts w:ascii="Segoe UI" w:hAnsi="Segoe UI" w:cs="Segoe UI"/>
          <w:sz w:val="21"/>
          <w:szCs w:val="21"/>
        </w:rPr>
        <w:t xml:space="preserve">, </w:t>
      </w:r>
      <w:r w:rsidRPr="00EE6A92">
        <w:rPr>
          <w:rFonts w:ascii="Segoe UI" w:hAnsi="Segoe UI" w:cs="Segoe UI"/>
          <w:b/>
          <w:bCs/>
          <w:sz w:val="21"/>
          <w:szCs w:val="21"/>
        </w:rPr>
        <w:t>collaboration</w:t>
      </w:r>
      <w:r w:rsidRPr="00EE6A92">
        <w:rPr>
          <w:rFonts w:ascii="Segoe UI" w:hAnsi="Segoe UI" w:cs="Segoe UI"/>
          <w:sz w:val="21"/>
          <w:szCs w:val="21"/>
        </w:rPr>
        <w:t xml:space="preserve">, </w:t>
      </w:r>
      <w:r w:rsidRPr="00EE6A92">
        <w:rPr>
          <w:rFonts w:ascii="Segoe UI" w:hAnsi="Segoe UI" w:cs="Segoe UI"/>
          <w:b/>
          <w:bCs/>
          <w:sz w:val="21"/>
          <w:szCs w:val="21"/>
        </w:rPr>
        <w:t>partnership-building</w:t>
      </w:r>
      <w:r w:rsidRPr="00EE6A92">
        <w:rPr>
          <w:rFonts w:ascii="Segoe UI" w:hAnsi="Segoe UI" w:cs="Segoe UI"/>
          <w:sz w:val="21"/>
          <w:szCs w:val="21"/>
        </w:rPr>
        <w:t xml:space="preserve">, </w:t>
      </w:r>
      <w:r w:rsidRPr="00EE6A92">
        <w:rPr>
          <w:rFonts w:ascii="Segoe UI" w:hAnsi="Segoe UI" w:cs="Segoe UI"/>
          <w:b/>
          <w:bCs/>
          <w:sz w:val="21"/>
          <w:szCs w:val="21"/>
        </w:rPr>
        <w:t>transparent communication</w:t>
      </w:r>
      <w:r w:rsidRPr="00EE6A92">
        <w:rPr>
          <w:rFonts w:ascii="Segoe UI" w:hAnsi="Segoe UI" w:cs="Segoe UI"/>
          <w:sz w:val="21"/>
          <w:szCs w:val="21"/>
        </w:rPr>
        <w:t xml:space="preserve">, </w:t>
      </w:r>
      <w:r w:rsidRPr="00EE6A92">
        <w:rPr>
          <w:rFonts w:ascii="Segoe UI" w:hAnsi="Segoe UI" w:cs="Segoe UI"/>
          <w:b/>
          <w:bCs/>
          <w:sz w:val="21"/>
          <w:szCs w:val="21"/>
        </w:rPr>
        <w:t>contextual alignment</w:t>
      </w:r>
      <w:r w:rsidRPr="00EE6A92">
        <w:rPr>
          <w:rFonts w:ascii="Segoe UI" w:hAnsi="Segoe UI" w:cs="Segoe UI"/>
          <w:sz w:val="21"/>
          <w:szCs w:val="21"/>
        </w:rPr>
        <w:t xml:space="preserve">, and </w:t>
      </w:r>
      <w:r w:rsidRPr="00EE6A92">
        <w:rPr>
          <w:rFonts w:ascii="Segoe UI" w:hAnsi="Segoe UI" w:cs="Segoe UI"/>
          <w:b/>
          <w:bCs/>
          <w:sz w:val="21"/>
          <w:szCs w:val="21"/>
        </w:rPr>
        <w:t>ethical stewardship</w:t>
      </w:r>
      <w:hyperlink r:id="rId77" w:history="1">
        <w:r w:rsidRPr="00EE6A92">
          <w:rPr>
            <w:rFonts w:ascii="Segoe UI" w:hAnsi="Segoe UI" w:cs="Segoe UI"/>
            <w:color w:val="464FEB"/>
            <w:sz w:val="21"/>
            <w:szCs w:val="21"/>
          </w:rPr>
          <w:t>[1]</w:t>
        </w:r>
      </w:hyperlink>
      <w:hyperlink r:id="rId78" w:history="1">
        <w:r w:rsidRPr="00EE6A92">
          <w:rPr>
            <w:rFonts w:ascii="Segoe UI" w:hAnsi="Segoe UI" w:cs="Segoe UI"/>
            <w:color w:val="464FEB"/>
            <w:sz w:val="21"/>
            <w:szCs w:val="21"/>
          </w:rPr>
          <w:t>[2]</w:t>
        </w:r>
      </w:hyperlink>
      <w:r w:rsidRPr="00EE6A92">
        <w:rPr>
          <w:rFonts w:ascii="Segoe UI" w:hAnsi="Segoe UI" w:cs="Segoe UI"/>
          <w:sz w:val="21"/>
          <w:szCs w:val="21"/>
        </w:rPr>
        <w:t>. Below, we assess Employee A’s performance across eight key Quantum Leadership attributes, with specific examples drawn from enterprise communications (meetings, emails, files), and highlight how each attribute contributed to TPC’s transformation efforts in 2025.</w:t>
      </w:r>
    </w:p>
    <w:p w14:paraId="0E8789DE" w14:textId="77777777" w:rsidR="00EE6A92" w:rsidRPr="00EE6A92" w:rsidRDefault="00977BB2" w:rsidP="00EE6A92">
      <w:pPr>
        <w:spacing w:line="300" w:lineRule="atLeast"/>
        <w:rPr>
          <w:rFonts w:ascii="Segoe UI" w:hAnsi="Segoe UI" w:cs="Segoe UI"/>
          <w:sz w:val="21"/>
          <w:szCs w:val="21"/>
        </w:rPr>
      </w:pPr>
      <w:r>
        <w:rPr>
          <w:rFonts w:ascii="Segoe UI" w:hAnsi="Segoe UI" w:cs="Segoe UI"/>
          <w:sz w:val="21"/>
          <w:szCs w:val="21"/>
        </w:rPr>
        <w:pict w14:anchorId="07D8AE3E">
          <v:rect id="_x0000_i1030" style="width:0;height:1.5pt" o:hralign="center" o:hrstd="t" o:hr="t" fillcolor="#a0a0a0" stroked="f"/>
        </w:pict>
      </w:r>
    </w:p>
    <w:p w14:paraId="00C0CED0"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1. Respecting &amp; Aligning with Leadership’s Vision and Values</w:t>
      </w:r>
    </w:p>
    <w:p w14:paraId="7FCAA7C6"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showed strong alignment with TPC’s </w:t>
      </w:r>
      <w:r w:rsidRPr="00EE6A92">
        <w:rPr>
          <w:rFonts w:ascii="Segoe UI" w:hAnsi="Segoe UI" w:cs="Segoe UI"/>
          <w:b/>
          <w:bCs/>
          <w:sz w:val="21"/>
          <w:szCs w:val="21"/>
        </w:rPr>
        <w:t>leadership vision and core values</w:t>
      </w:r>
      <w:r w:rsidRPr="00EE6A92">
        <w:rPr>
          <w:rFonts w:ascii="Segoe UI" w:hAnsi="Segoe UI" w:cs="Segoe UI"/>
          <w:sz w:val="21"/>
          <w:szCs w:val="21"/>
        </w:rPr>
        <w:t xml:space="preserve"> (particularly the Chairman’s </w:t>
      </w:r>
      <w:r w:rsidRPr="00EE6A92">
        <w:rPr>
          <w:rFonts w:ascii="Segoe UI" w:hAnsi="Segoe UI" w:cs="Segoe UI"/>
          <w:i/>
          <w:iCs/>
          <w:sz w:val="21"/>
          <w:szCs w:val="21"/>
        </w:rPr>
        <w:t>Well-Being Mandate</w:t>
      </w:r>
      <w:r w:rsidRPr="00EE6A92">
        <w:rPr>
          <w:rFonts w:ascii="Segoe UI" w:hAnsi="Segoe UI" w:cs="Segoe UI"/>
          <w:sz w:val="21"/>
          <w:szCs w:val="21"/>
        </w:rPr>
        <w:t xml:space="preserve"> and transformation agenda). He consistently </w:t>
      </w:r>
      <w:r w:rsidRPr="00EE6A92">
        <w:rPr>
          <w:rFonts w:ascii="Segoe UI" w:hAnsi="Segoe UI" w:cs="Segoe UI"/>
          <w:b/>
          <w:bCs/>
          <w:sz w:val="21"/>
          <w:szCs w:val="21"/>
        </w:rPr>
        <w:t>reinforced the company’s purpose</w:t>
      </w:r>
      <w:r w:rsidRPr="00EE6A92">
        <w:rPr>
          <w:rFonts w:ascii="Segoe UI" w:hAnsi="Segoe UI" w:cs="Segoe UI"/>
          <w:sz w:val="21"/>
          <w:szCs w:val="21"/>
        </w:rPr>
        <w:t xml:space="preserve"> in his initiatives and communications:</w:t>
      </w:r>
    </w:p>
    <w:p w14:paraId="1C934933" w14:textId="77777777" w:rsidR="00EE6A92" w:rsidRPr="00EE6A92" w:rsidRDefault="00EE6A92" w:rsidP="00EE6A92">
      <w:pPr>
        <w:numPr>
          <w:ilvl w:val="0"/>
          <w:numId w:val="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Embedding the Well-Being Mandate</w:t>
      </w:r>
      <w:r w:rsidRPr="00EE6A92">
        <w:rPr>
          <w:rFonts w:ascii="Segoe UI" w:hAnsi="Segoe UI" w:cs="Segoe UI"/>
          <w:sz w:val="21"/>
          <w:szCs w:val="21"/>
        </w:rPr>
        <w:t xml:space="preserve">: As part of TPC’s 2025 objectives, Employee A was directly responsible for instilling the Well-Being Mandate into the culture. He embraced this wholeheartedly. For instance, when evaluating an external leadership program, he immediately related it to TPC’s values – noting the “focus on holistic health and habits” </w:t>
      </w:r>
      <w:r w:rsidRPr="00EE6A92">
        <w:rPr>
          <w:rFonts w:ascii="Segoe UI" w:hAnsi="Segoe UI" w:cs="Segoe UI"/>
          <w:i/>
          <w:iCs/>
          <w:sz w:val="21"/>
          <w:szCs w:val="21"/>
        </w:rPr>
        <w:t>“aligns with OCTAVE’s ‘The 8 Living Habits’”</w:t>
      </w:r>
      <w:r w:rsidRPr="00EE6A92">
        <w:rPr>
          <w:rFonts w:ascii="Segoe UI" w:hAnsi="Segoe UI" w:cs="Segoe UI"/>
          <w:sz w:val="21"/>
          <w:szCs w:val="21"/>
        </w:rPr>
        <w:t xml:space="preserve"> and that parts of the program mirrored TPC’s own coaching approach</w:t>
      </w:r>
      <w:hyperlink r:id="rId79" w:history="1">
        <w:r w:rsidRPr="00EE6A92">
          <w:rPr>
            <w:rFonts w:ascii="Segoe UI" w:hAnsi="Segoe UI" w:cs="Segoe UI"/>
            <w:color w:val="464FEB"/>
            <w:sz w:val="21"/>
            <w:szCs w:val="21"/>
          </w:rPr>
          <w:t>[1]</w:t>
        </w:r>
      </w:hyperlink>
      <w:r w:rsidRPr="00EE6A92">
        <w:rPr>
          <w:rFonts w:ascii="Segoe UI" w:hAnsi="Segoe UI" w:cs="Segoe UI"/>
          <w:sz w:val="21"/>
          <w:szCs w:val="21"/>
        </w:rPr>
        <w:t xml:space="preserve">. This shows how Employee A reflexively checked that new ideas resonated with </w:t>
      </w:r>
      <w:r w:rsidRPr="00EE6A92">
        <w:rPr>
          <w:rFonts w:ascii="Segoe UI" w:hAnsi="Segoe UI" w:cs="Segoe UI"/>
          <w:b/>
          <w:bCs/>
          <w:sz w:val="21"/>
          <w:szCs w:val="21"/>
        </w:rPr>
        <w:t>Tsao Family’s vision of holistic well-being</w:t>
      </w:r>
      <w:r w:rsidRPr="00EE6A92">
        <w:rPr>
          <w:rFonts w:ascii="Segoe UI" w:hAnsi="Segoe UI" w:cs="Segoe UI"/>
          <w:sz w:val="21"/>
          <w:szCs w:val="21"/>
        </w:rPr>
        <w:t xml:space="preserve"> before supporting them.</w:t>
      </w:r>
    </w:p>
    <w:p w14:paraId="596BE8B1" w14:textId="77777777" w:rsidR="00EE6A92" w:rsidRPr="00EE6A92" w:rsidRDefault="00EE6A92" w:rsidP="00EE6A92">
      <w:pPr>
        <w:numPr>
          <w:ilvl w:val="0"/>
          <w:numId w:val="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Championing Purpose-Led Strategy</w:t>
      </w:r>
      <w:r w:rsidRPr="00EE6A92">
        <w:rPr>
          <w:rFonts w:ascii="Segoe UI" w:hAnsi="Segoe UI" w:cs="Segoe UI"/>
          <w:sz w:val="21"/>
          <w:szCs w:val="21"/>
        </w:rPr>
        <w:t xml:space="preserve">: Employee A frequently echoed the top leadership’s vision of a </w:t>
      </w:r>
      <w:r w:rsidRPr="00EE6A92">
        <w:rPr>
          <w:rFonts w:ascii="Segoe UI" w:hAnsi="Segoe UI" w:cs="Segoe UI"/>
          <w:i/>
          <w:iCs/>
          <w:sz w:val="21"/>
          <w:szCs w:val="21"/>
        </w:rPr>
        <w:t>“Purpose-led Profit Business”</w:t>
      </w:r>
      <w:r w:rsidRPr="00EE6A92">
        <w:rPr>
          <w:rFonts w:ascii="Segoe UI" w:hAnsi="Segoe UI" w:cs="Segoe UI"/>
          <w:sz w:val="21"/>
          <w:szCs w:val="21"/>
        </w:rPr>
        <w:t xml:space="preserve">. In strategy discussions, he highlighted TPC’s higher purpose. During a Good Management Workshop in May, he reminded participants to apply the </w:t>
      </w:r>
      <w:r w:rsidRPr="00EE6A92">
        <w:rPr>
          <w:rFonts w:ascii="Segoe UI" w:hAnsi="Segoe UI" w:cs="Segoe UI"/>
          <w:i/>
          <w:iCs/>
          <w:sz w:val="21"/>
          <w:szCs w:val="21"/>
        </w:rPr>
        <w:t>“Awareness, Alignment, Collaboration, Co-creation”</w:t>
      </w:r>
      <w:r w:rsidRPr="00EE6A92">
        <w:rPr>
          <w:rFonts w:ascii="Segoe UI" w:hAnsi="Segoe UI" w:cs="Segoe UI"/>
          <w:sz w:val="21"/>
          <w:szCs w:val="21"/>
        </w:rPr>
        <w:t xml:space="preserve"> mindset – a set of values emphasized by Chairman Chavalit Tsao – to practical business improvements</w:t>
      </w:r>
      <w:hyperlink r:id="rId80" w:history="1">
        <w:r w:rsidRPr="00EE6A92">
          <w:rPr>
            <w:rFonts w:ascii="Segoe UI" w:hAnsi="Segoe UI" w:cs="Segoe UI"/>
            <w:color w:val="464FEB"/>
            <w:sz w:val="21"/>
            <w:szCs w:val="21"/>
          </w:rPr>
          <w:t>[1]</w:t>
        </w:r>
      </w:hyperlink>
      <w:hyperlink r:id="rId81" w:history="1">
        <w:r w:rsidRPr="00EE6A92">
          <w:rPr>
            <w:rFonts w:ascii="Segoe UI" w:hAnsi="Segoe UI" w:cs="Segoe UI"/>
            <w:color w:val="464FEB"/>
            <w:sz w:val="21"/>
            <w:szCs w:val="21"/>
          </w:rPr>
          <w:t>[2]</w:t>
        </w:r>
      </w:hyperlink>
      <w:r w:rsidRPr="00EE6A92">
        <w:rPr>
          <w:rFonts w:ascii="Segoe UI" w:hAnsi="Segoe UI" w:cs="Segoe UI"/>
          <w:sz w:val="21"/>
          <w:szCs w:val="21"/>
        </w:rPr>
        <w:t xml:space="preserve">. By doing so, he kept teams aligned with the leadership’s management model while solving day-to-day issues. He was effectively a </w:t>
      </w:r>
      <w:r w:rsidRPr="00EE6A92">
        <w:rPr>
          <w:rFonts w:ascii="Segoe UI" w:hAnsi="Segoe UI" w:cs="Segoe UI"/>
          <w:b/>
          <w:bCs/>
          <w:sz w:val="21"/>
          <w:szCs w:val="21"/>
        </w:rPr>
        <w:t>conduit for leadership philosophy</w:t>
      </w:r>
      <w:r w:rsidRPr="00EE6A92">
        <w:rPr>
          <w:rFonts w:ascii="Segoe UI" w:hAnsi="Segoe UI" w:cs="Segoe UI"/>
          <w:sz w:val="21"/>
          <w:szCs w:val="21"/>
        </w:rPr>
        <w:t>, translating it into action at all organizational levels.</w:t>
      </w:r>
    </w:p>
    <w:p w14:paraId="1BCAACDD" w14:textId="77777777" w:rsidR="00EE6A92" w:rsidRPr="00EE6A92" w:rsidRDefault="00EE6A92" w:rsidP="00EE6A92">
      <w:pPr>
        <w:numPr>
          <w:ilvl w:val="0"/>
          <w:numId w:val="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Following Leadership Guidance</w:t>
      </w:r>
      <w:r w:rsidRPr="00EE6A92">
        <w:rPr>
          <w:rFonts w:ascii="Segoe UI" w:hAnsi="Segoe UI" w:cs="Segoe UI"/>
          <w:sz w:val="21"/>
          <w:szCs w:val="21"/>
        </w:rPr>
        <w:t>: Employee A demonstrated respect for leadership directives in how he executed projects. For example, in planning the 7th Good Management Workshop (GMW7) for senior executives, he incorporated “direction from chairman” into the agenda</w:t>
      </w:r>
      <w:hyperlink r:id="rId82" w:history="1">
        <w:r w:rsidRPr="00EE6A92">
          <w:rPr>
            <w:rFonts w:ascii="Segoe UI" w:hAnsi="Segoe UI" w:cs="Segoe UI"/>
            <w:color w:val="464FEB"/>
            <w:sz w:val="21"/>
            <w:szCs w:val="21"/>
          </w:rPr>
          <w:t>[3]</w:t>
        </w:r>
      </w:hyperlink>
      <w:r w:rsidRPr="00EE6A92">
        <w:rPr>
          <w:rFonts w:ascii="Segoe UI" w:hAnsi="Segoe UI" w:cs="Segoe UI"/>
          <w:sz w:val="21"/>
          <w:szCs w:val="21"/>
        </w:rPr>
        <w:t xml:space="preserve">. He coordinated closely with Group CCO Loh Niap Juan and Sherin Goh to ensure the workshop content reflected the Chairman’s vision of learning and industry exposure. </w:t>
      </w:r>
      <w:r w:rsidRPr="00EE6A92">
        <w:rPr>
          <w:rFonts w:ascii="Segoe UI" w:hAnsi="Segoe UI" w:cs="Segoe UI"/>
          <w:i/>
          <w:iCs/>
          <w:sz w:val="21"/>
          <w:szCs w:val="21"/>
        </w:rPr>
        <w:t>“For the industry visits, they are being planned by Jack, in consultation with Niap and Chairman,”</w:t>
      </w:r>
      <w:r w:rsidRPr="00EE6A92">
        <w:rPr>
          <w:rFonts w:ascii="Segoe UI" w:hAnsi="Segoe UI" w:cs="Segoe UI"/>
          <w:sz w:val="21"/>
          <w:szCs w:val="21"/>
        </w:rPr>
        <w:t xml:space="preserve"> Employee A wrote</w:t>
      </w:r>
      <w:hyperlink r:id="rId83" w:history="1">
        <w:r w:rsidRPr="00EE6A92">
          <w:rPr>
            <w:rFonts w:ascii="Segoe UI" w:hAnsi="Segoe UI" w:cs="Segoe UI"/>
            <w:color w:val="464FEB"/>
            <w:sz w:val="21"/>
            <w:szCs w:val="21"/>
          </w:rPr>
          <w:t>[3]</w:t>
        </w:r>
      </w:hyperlink>
      <w:r w:rsidRPr="00EE6A92">
        <w:rPr>
          <w:rFonts w:ascii="Segoe UI" w:hAnsi="Segoe UI" w:cs="Segoe UI"/>
          <w:sz w:val="21"/>
          <w:szCs w:val="21"/>
        </w:rPr>
        <w:t>, indicating his diligence in aligning event logistics with leadership’s wishes. This attention to leadership input helped make initiatives like GMW7 reinforce the intended cultural values (co-creation, continuous learning).</w:t>
      </w:r>
    </w:p>
    <w:p w14:paraId="4956569A" w14:textId="77777777" w:rsidR="00EE6A92" w:rsidRPr="00EE6A92" w:rsidRDefault="00EE6A92" w:rsidP="00EE6A92">
      <w:pPr>
        <w:numPr>
          <w:ilvl w:val="0"/>
          <w:numId w:val="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Upholding Corporate Philosophy Publicly</w:t>
      </w:r>
      <w:r w:rsidRPr="00EE6A92">
        <w:rPr>
          <w:rFonts w:ascii="Segoe UI" w:hAnsi="Segoe UI" w:cs="Segoe UI"/>
          <w:sz w:val="21"/>
          <w:szCs w:val="21"/>
        </w:rPr>
        <w:t xml:space="preserve">: In external interactions, Employee A also aligned with TPC’s values. He frequently referenced </w:t>
      </w:r>
      <w:r w:rsidRPr="00EE6A92">
        <w:rPr>
          <w:rFonts w:ascii="Segoe UI" w:hAnsi="Segoe UI" w:cs="Segoe UI"/>
          <w:b/>
          <w:bCs/>
          <w:sz w:val="21"/>
          <w:szCs w:val="21"/>
        </w:rPr>
        <w:t>Chairman Tsao’s ideas</w:t>
      </w:r>
      <w:r w:rsidRPr="00EE6A92">
        <w:rPr>
          <w:rFonts w:ascii="Segoe UI" w:hAnsi="Segoe UI" w:cs="Segoe UI"/>
          <w:sz w:val="21"/>
          <w:szCs w:val="21"/>
        </w:rPr>
        <w:t xml:space="preserve"> to external partners, reinforcing consistency. In one email, he invited a potential collaborator to join TPC’s mindfulness and leadership programs, explaining they are based on </w:t>
      </w:r>
      <w:r w:rsidRPr="00EE6A92">
        <w:rPr>
          <w:rFonts w:ascii="Segoe UI" w:hAnsi="Segoe UI" w:cs="Segoe UI"/>
          <w:i/>
          <w:iCs/>
          <w:sz w:val="21"/>
          <w:szCs w:val="21"/>
        </w:rPr>
        <w:t>“our Chairman’s latest book”</w:t>
      </w:r>
      <w:r w:rsidRPr="00EE6A92">
        <w:rPr>
          <w:rFonts w:ascii="Segoe UI" w:hAnsi="Segoe UI" w:cs="Segoe UI"/>
          <w:sz w:val="21"/>
          <w:szCs w:val="21"/>
        </w:rPr>
        <w:t xml:space="preserve"> about </w:t>
      </w:r>
      <w:r w:rsidRPr="00EE6A92">
        <w:rPr>
          <w:rFonts w:ascii="Segoe UI" w:hAnsi="Segoe UI" w:cs="Segoe UI"/>
          <w:i/>
          <w:iCs/>
          <w:sz w:val="21"/>
          <w:szCs w:val="21"/>
        </w:rPr>
        <w:t>Leading through Impact Investing – towards Life Flourishing</w:t>
      </w:r>
      <w:hyperlink r:id="rId84" w:history="1">
        <w:r w:rsidRPr="00EE6A92">
          <w:rPr>
            <w:rFonts w:ascii="Segoe UI" w:hAnsi="Segoe UI" w:cs="Segoe UI"/>
            <w:color w:val="464FEB"/>
            <w:sz w:val="21"/>
            <w:szCs w:val="21"/>
          </w:rPr>
          <w:t>[1]</w:t>
        </w:r>
      </w:hyperlink>
      <w:r w:rsidRPr="00EE6A92">
        <w:rPr>
          <w:rFonts w:ascii="Segoe UI" w:hAnsi="Segoe UI" w:cs="Segoe UI"/>
          <w:sz w:val="21"/>
          <w:szCs w:val="21"/>
        </w:rPr>
        <w:t xml:space="preserve">. By promoting TPC’s vision externally (impact investing for life flourishing), Employee A acted as an ambassador of the company’s values, ensuring that his own networking advanced </w:t>
      </w:r>
      <w:r w:rsidRPr="00EE6A92">
        <w:rPr>
          <w:rFonts w:ascii="Segoe UI" w:hAnsi="Segoe UI" w:cs="Segoe UI"/>
          <w:b/>
          <w:bCs/>
          <w:sz w:val="21"/>
          <w:szCs w:val="21"/>
        </w:rPr>
        <w:t>leadership’s philosophy</w:t>
      </w:r>
      <w:r w:rsidRPr="00EE6A92">
        <w:rPr>
          <w:rFonts w:ascii="Segoe UI" w:hAnsi="Segoe UI" w:cs="Segoe UI"/>
          <w:sz w:val="21"/>
          <w:szCs w:val="21"/>
        </w:rPr>
        <w:t xml:space="preserve"> on a broader stage.</w:t>
      </w:r>
    </w:p>
    <w:p w14:paraId="10453441"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This strong alignment meant all of Employee A’s 2025 projects were </w:t>
      </w:r>
      <w:r w:rsidRPr="00EE6A92">
        <w:rPr>
          <w:rFonts w:ascii="Segoe UI" w:hAnsi="Segoe UI" w:cs="Segoe UI"/>
          <w:b/>
          <w:bCs/>
          <w:sz w:val="21"/>
          <w:szCs w:val="21"/>
        </w:rPr>
        <w:t>anchored in TPC’s purpose</w:t>
      </w:r>
      <w:r w:rsidRPr="00EE6A92">
        <w:rPr>
          <w:rFonts w:ascii="Segoe UI" w:hAnsi="Segoe UI" w:cs="Segoe UI"/>
          <w:sz w:val="21"/>
          <w:szCs w:val="21"/>
        </w:rPr>
        <w:t xml:space="preserve">. By constantly checking against the well-being mandate and leadership principles, he kept transformation efforts from straying off-mission. For example, the digital initiatives he led (AI performance management, etc.) were framed not just as tech upgrades, but as tools to advance TPC’s purpose and values (e.g. using AI to nurture employee growth). This values-driven approach garnered trust from top leadership – they could delegate strategic tasks to Employee A knowing he would carry them out in the </w:t>
      </w:r>
      <w:r w:rsidRPr="00EE6A92">
        <w:rPr>
          <w:rFonts w:ascii="Segoe UI" w:hAnsi="Segoe UI" w:cs="Segoe UI"/>
          <w:i/>
          <w:iCs/>
          <w:sz w:val="21"/>
          <w:szCs w:val="21"/>
        </w:rPr>
        <w:t>spirit intended</w:t>
      </w:r>
      <w:r w:rsidRPr="00EE6A92">
        <w:rPr>
          <w:rFonts w:ascii="Segoe UI" w:hAnsi="Segoe UI" w:cs="Segoe UI"/>
          <w:sz w:val="21"/>
          <w:szCs w:val="21"/>
        </w:rPr>
        <w:t>. As a result, key transformation programs (OKR rollout, Quantum Leadership Program, etc.) had clear, purpose-aligned messaging, which helped mobilize broader employee buy-in.</w:t>
      </w:r>
    </w:p>
    <w:p w14:paraId="49F26114"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72831055" w14:textId="77777777" w:rsidR="00EE6A92" w:rsidRPr="00EE6A92" w:rsidRDefault="00EE6A92" w:rsidP="00EE6A92">
      <w:pPr>
        <w:numPr>
          <w:ilvl w:val="0"/>
          <w:numId w:val="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Employee A was assigned to embed the Well-Being Mandate via the Good Management Model, showing leadership’s trust in his alignment.</w:t>
      </w:r>
    </w:p>
    <w:p w14:paraId="29168571" w14:textId="77777777" w:rsidR="00EE6A92" w:rsidRPr="00EE6A92" w:rsidRDefault="00EE6A92" w:rsidP="00EE6A92">
      <w:pPr>
        <w:numPr>
          <w:ilvl w:val="0"/>
          <w:numId w:val="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explicitly linked external content to TPC’s </w:t>
      </w:r>
      <w:r w:rsidRPr="00EE6A92">
        <w:rPr>
          <w:rFonts w:ascii="Segoe UI" w:hAnsi="Segoe UI" w:cs="Segoe UI"/>
          <w:b/>
          <w:bCs/>
          <w:sz w:val="21"/>
          <w:szCs w:val="21"/>
        </w:rPr>
        <w:t>“8 Living Habits”</w:t>
      </w:r>
      <w:r w:rsidRPr="00EE6A92">
        <w:rPr>
          <w:rFonts w:ascii="Segoe UI" w:hAnsi="Segoe UI" w:cs="Segoe UI"/>
          <w:sz w:val="21"/>
          <w:szCs w:val="21"/>
        </w:rPr>
        <w:t xml:space="preserve"> and Good Management mindsets in communications</w:t>
      </w:r>
      <w:hyperlink r:id="rId85" w:history="1">
        <w:r w:rsidRPr="00EE6A92">
          <w:rPr>
            <w:rFonts w:ascii="Segoe UI" w:hAnsi="Segoe UI" w:cs="Segoe UI"/>
            <w:color w:val="464FEB"/>
            <w:sz w:val="21"/>
            <w:szCs w:val="21"/>
          </w:rPr>
          <w:t>[1]</w:t>
        </w:r>
      </w:hyperlink>
      <w:r w:rsidRPr="00EE6A92">
        <w:rPr>
          <w:rFonts w:ascii="Segoe UI" w:hAnsi="Segoe UI" w:cs="Segoe UI"/>
          <w:sz w:val="21"/>
          <w:szCs w:val="21"/>
        </w:rPr>
        <w:t>.</w:t>
      </w:r>
    </w:p>
    <w:p w14:paraId="6009FD91" w14:textId="77777777" w:rsidR="00EE6A92" w:rsidRPr="00EE6A92" w:rsidRDefault="00EE6A92" w:rsidP="00EE6A92">
      <w:pPr>
        <w:numPr>
          <w:ilvl w:val="0"/>
          <w:numId w:val="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followed Chairman’s guidance in planning leadership workshops, incorporating directives from the top</w:t>
      </w:r>
      <w:hyperlink r:id="rId86" w:history="1">
        <w:r w:rsidRPr="00EE6A92">
          <w:rPr>
            <w:rFonts w:ascii="Segoe UI" w:hAnsi="Segoe UI" w:cs="Segoe UI"/>
            <w:color w:val="464FEB"/>
            <w:sz w:val="21"/>
            <w:szCs w:val="21"/>
          </w:rPr>
          <w:t>[3]</w:t>
        </w:r>
      </w:hyperlink>
      <w:r w:rsidRPr="00EE6A92">
        <w:rPr>
          <w:rFonts w:ascii="Segoe UI" w:hAnsi="Segoe UI" w:cs="Segoe UI"/>
          <w:sz w:val="21"/>
          <w:szCs w:val="21"/>
        </w:rPr>
        <w:t>.</w:t>
      </w:r>
    </w:p>
    <w:p w14:paraId="7A518262" w14:textId="77777777" w:rsidR="00EE6A92" w:rsidRPr="00EE6A92" w:rsidRDefault="00EE6A92" w:rsidP="00EE6A92">
      <w:pPr>
        <w:numPr>
          <w:ilvl w:val="0"/>
          <w:numId w:val="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referenced </w:t>
      </w:r>
      <w:r w:rsidRPr="00EE6A92">
        <w:rPr>
          <w:rFonts w:ascii="Segoe UI" w:hAnsi="Segoe UI" w:cs="Segoe UI"/>
          <w:b/>
          <w:bCs/>
          <w:sz w:val="21"/>
          <w:szCs w:val="21"/>
        </w:rPr>
        <w:t>Chairman Tsao’s book and philosophy</w:t>
      </w:r>
      <w:r w:rsidRPr="00EE6A92">
        <w:rPr>
          <w:rFonts w:ascii="Segoe UI" w:hAnsi="Segoe UI" w:cs="Segoe UI"/>
          <w:sz w:val="21"/>
          <w:szCs w:val="21"/>
        </w:rPr>
        <w:t xml:space="preserve"> when engaging external partners</w:t>
      </w:r>
      <w:hyperlink r:id="rId87" w:history="1">
        <w:r w:rsidRPr="00EE6A92">
          <w:rPr>
            <w:rFonts w:ascii="Segoe UI" w:hAnsi="Segoe UI" w:cs="Segoe UI"/>
            <w:color w:val="464FEB"/>
            <w:sz w:val="21"/>
            <w:szCs w:val="21"/>
          </w:rPr>
          <w:t>[1]</w:t>
        </w:r>
      </w:hyperlink>
      <w:r w:rsidRPr="00EE6A92">
        <w:rPr>
          <w:rFonts w:ascii="Segoe UI" w:hAnsi="Segoe UI" w:cs="Segoe UI"/>
          <w:sz w:val="21"/>
          <w:szCs w:val="21"/>
        </w:rPr>
        <w:t>, reflecting outward alignment with vision.</w:t>
      </w:r>
    </w:p>
    <w:p w14:paraId="2403DA39"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2. Supporting Others’ Growth &amp; Well-Being (Guidance &amp; Care)</w:t>
      </w:r>
    </w:p>
    <w:p w14:paraId="42D7707C"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A hallmark of Employee A’s leadership style in 2025 was his genuine investment in </w:t>
      </w:r>
      <w:r w:rsidRPr="00EE6A92">
        <w:rPr>
          <w:rFonts w:ascii="Segoe UI" w:hAnsi="Segoe UI" w:cs="Segoe UI"/>
          <w:b/>
          <w:bCs/>
          <w:sz w:val="21"/>
          <w:szCs w:val="21"/>
        </w:rPr>
        <w:t>colleagues’ development and well-being</w:t>
      </w:r>
      <w:r w:rsidRPr="00EE6A92">
        <w:rPr>
          <w:rFonts w:ascii="Segoe UI" w:hAnsi="Segoe UI" w:cs="Segoe UI"/>
          <w:sz w:val="21"/>
          <w:szCs w:val="21"/>
        </w:rPr>
        <w:t>. As Deputy Executive Director of Octave (the group’s learning institute), he took on a mentoring and supportive role for many, exemplifying guidance and care:</w:t>
      </w:r>
    </w:p>
    <w:p w14:paraId="5E030C3A" w14:textId="77777777" w:rsidR="00EE6A92" w:rsidRPr="00EE6A92" w:rsidRDefault="00EE6A92" w:rsidP="00EE6A92">
      <w:pPr>
        <w:numPr>
          <w:ilvl w:val="0"/>
          <w:numId w:val="1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Active Coaching and Mentoring:</w:t>
      </w:r>
      <w:r w:rsidRPr="00EE6A92">
        <w:rPr>
          <w:rFonts w:ascii="Segoe UI" w:hAnsi="Segoe UI" w:cs="Segoe UI"/>
          <w:sz w:val="21"/>
          <w:szCs w:val="21"/>
        </w:rPr>
        <w:t xml:space="preserve"> Employee A personally served as a coach in TPC’s leadership programs. During the Mindful Emotion Program (a part of the Quantum Leadership series), he was one of the three designated coaches providing </w:t>
      </w:r>
      <w:r w:rsidRPr="00EE6A92">
        <w:rPr>
          <w:rFonts w:ascii="Segoe UI" w:hAnsi="Segoe UI" w:cs="Segoe UI"/>
          <w:b/>
          <w:bCs/>
          <w:sz w:val="21"/>
          <w:szCs w:val="21"/>
        </w:rPr>
        <w:t>1-on-1 coaching</w:t>
      </w:r>
      <w:r w:rsidRPr="00EE6A92">
        <w:rPr>
          <w:rFonts w:ascii="Segoe UI" w:hAnsi="Segoe UI" w:cs="Segoe UI"/>
          <w:sz w:val="21"/>
          <w:szCs w:val="21"/>
        </w:rPr>
        <w:t xml:space="preserve"> to participants alongside Sook Yee and Rosseana. This hands-on guidance – </w:t>
      </w:r>
      <w:r w:rsidRPr="00EE6A92">
        <w:rPr>
          <w:rFonts w:ascii="Segoe UI" w:hAnsi="Segoe UI" w:cs="Segoe UI"/>
          <w:i/>
          <w:iCs/>
          <w:sz w:val="21"/>
          <w:szCs w:val="21"/>
        </w:rPr>
        <w:t>literally coaching employees through their personal development journey</w:t>
      </w:r>
      <w:r w:rsidRPr="00EE6A92">
        <w:rPr>
          <w:rFonts w:ascii="Segoe UI" w:hAnsi="Segoe UI" w:cs="Segoe UI"/>
          <w:sz w:val="21"/>
          <w:szCs w:val="21"/>
        </w:rPr>
        <w:t xml:space="preserve"> – underscores his commitment to others’ growth. Participants benefitted from his counsel on integrating mindfulness into leadership, which not only improved their skills but also their well-being (MEP focuses on emotional agility and stress reduction). By dedicating his time as a coach, Employee A </w:t>
      </w:r>
      <w:proofErr w:type="spellStart"/>
      <w:r w:rsidRPr="00EE6A92">
        <w:rPr>
          <w:rFonts w:ascii="Segoe UI" w:hAnsi="Segoe UI" w:cs="Segoe UI"/>
          <w:sz w:val="21"/>
          <w:szCs w:val="21"/>
        </w:rPr>
        <w:t>modeled</w:t>
      </w:r>
      <w:proofErr w:type="spellEnd"/>
      <w:r w:rsidRPr="00EE6A92">
        <w:rPr>
          <w:rFonts w:ascii="Segoe UI" w:hAnsi="Segoe UI" w:cs="Segoe UI"/>
          <w:sz w:val="21"/>
          <w:szCs w:val="21"/>
        </w:rPr>
        <w:t xml:space="preserve"> the caring leader role, showing that senior leaders in TPC should directly uplift their teams.</w:t>
      </w:r>
    </w:p>
    <w:p w14:paraId="35F8FC57" w14:textId="77777777" w:rsidR="00EE6A92" w:rsidRPr="00EE6A92" w:rsidRDefault="00EE6A92" w:rsidP="00EE6A92">
      <w:pPr>
        <w:numPr>
          <w:ilvl w:val="0"/>
          <w:numId w:val="1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Recognition and Encouragement:</w:t>
      </w:r>
      <w:r w:rsidRPr="00EE6A92">
        <w:rPr>
          <w:rFonts w:ascii="Segoe UI" w:hAnsi="Segoe UI" w:cs="Segoe UI"/>
          <w:sz w:val="21"/>
          <w:szCs w:val="21"/>
        </w:rPr>
        <w:t xml:space="preserve"> Employee A made it a point to </w:t>
      </w:r>
      <w:r w:rsidRPr="00EE6A92">
        <w:rPr>
          <w:rFonts w:ascii="Segoe UI" w:hAnsi="Segoe UI" w:cs="Segoe UI"/>
          <w:b/>
          <w:bCs/>
          <w:sz w:val="21"/>
          <w:szCs w:val="21"/>
        </w:rPr>
        <w:t>recognize achievements</w:t>
      </w:r>
      <w:r w:rsidRPr="00EE6A92">
        <w:rPr>
          <w:rFonts w:ascii="Segoe UI" w:hAnsi="Segoe UI" w:cs="Segoe UI"/>
          <w:sz w:val="21"/>
          <w:szCs w:val="21"/>
        </w:rPr>
        <w:t xml:space="preserve"> and encourage further growth. In a March corporate meeting, he took the floor to </w:t>
      </w:r>
      <w:r w:rsidRPr="00EE6A92">
        <w:rPr>
          <w:rFonts w:ascii="Segoe UI" w:hAnsi="Segoe UI" w:cs="Segoe UI"/>
          <w:i/>
          <w:iCs/>
          <w:sz w:val="21"/>
          <w:szCs w:val="21"/>
        </w:rPr>
        <w:t>“congratulate those who finished MLP”</w:t>
      </w:r>
      <w:r w:rsidRPr="00EE6A92">
        <w:rPr>
          <w:rFonts w:ascii="Segoe UI" w:hAnsi="Segoe UI" w:cs="Segoe UI"/>
          <w:sz w:val="21"/>
          <w:szCs w:val="21"/>
        </w:rPr>
        <w:t xml:space="preserve"> (the Mindful Leadership Program). This public recognition valued employees’ efforts in completing a </w:t>
      </w:r>
      <w:proofErr w:type="spellStart"/>
      <w:r w:rsidRPr="00EE6A92">
        <w:rPr>
          <w:rFonts w:ascii="Segoe UI" w:hAnsi="Segoe UI" w:cs="Segoe UI"/>
          <w:sz w:val="21"/>
          <w:szCs w:val="21"/>
        </w:rPr>
        <w:t>grueling</w:t>
      </w:r>
      <w:proofErr w:type="spellEnd"/>
      <w:r w:rsidRPr="00EE6A92">
        <w:rPr>
          <w:rFonts w:ascii="Segoe UI" w:hAnsi="Segoe UI" w:cs="Segoe UI"/>
          <w:sz w:val="21"/>
          <w:szCs w:val="21"/>
        </w:rPr>
        <w:t xml:space="preserve"> month-long leadership retreat in the Kalimantan jungle. Such gestures boosted morale and validated TPC’s emphasis on self-cultivation. Moreover, by celebrating them, Employee A </w:t>
      </w:r>
      <w:proofErr w:type="spellStart"/>
      <w:r w:rsidRPr="00EE6A92">
        <w:rPr>
          <w:rFonts w:ascii="Segoe UI" w:hAnsi="Segoe UI" w:cs="Segoe UI"/>
          <w:sz w:val="21"/>
          <w:szCs w:val="21"/>
        </w:rPr>
        <w:t>signaled</w:t>
      </w:r>
      <w:proofErr w:type="spellEnd"/>
      <w:r w:rsidRPr="00EE6A92">
        <w:rPr>
          <w:rFonts w:ascii="Segoe UI" w:hAnsi="Segoe UI" w:cs="Segoe UI"/>
          <w:sz w:val="21"/>
          <w:szCs w:val="21"/>
        </w:rPr>
        <w:t xml:space="preserve"> that developing oneself (in line with the Well-Being Mandate) is not just accepted but applauded. Colleagues have noted that Employee A often gives shout-outs in meetings or emails when someone attains a milestone – be it completing a training, winning an award, or delivering a successful project. This positive reinforcement builds a supportive atmosphere.</w:t>
      </w:r>
    </w:p>
    <w:p w14:paraId="2BF56555" w14:textId="77777777" w:rsidR="00EE6A92" w:rsidRPr="00EE6A92" w:rsidRDefault="00EE6A92" w:rsidP="00EE6A92">
      <w:pPr>
        <w:numPr>
          <w:ilvl w:val="0"/>
          <w:numId w:val="1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Career Development and Sponsorship:</w:t>
      </w:r>
      <w:r w:rsidRPr="00EE6A92">
        <w:rPr>
          <w:rFonts w:ascii="Segoe UI" w:hAnsi="Segoe UI" w:cs="Segoe UI"/>
          <w:sz w:val="21"/>
          <w:szCs w:val="21"/>
        </w:rPr>
        <w:t xml:space="preserve"> Beyond daily encouragement, Employee A actively </w:t>
      </w:r>
      <w:r w:rsidRPr="00EE6A92">
        <w:rPr>
          <w:rFonts w:ascii="Segoe UI" w:hAnsi="Segoe UI" w:cs="Segoe UI"/>
          <w:b/>
          <w:bCs/>
          <w:sz w:val="21"/>
          <w:szCs w:val="21"/>
        </w:rPr>
        <w:t>sponsored colleagues’ career progression</w:t>
      </w:r>
      <w:r w:rsidRPr="00EE6A92">
        <w:rPr>
          <w:rFonts w:ascii="Segoe UI" w:hAnsi="Segoe UI" w:cs="Segoe UI"/>
          <w:sz w:val="21"/>
          <w:szCs w:val="21"/>
        </w:rPr>
        <w:t xml:space="preserve">. A clear example is how he nurtured Facilitator A, the Head of Coaching Practice at Octave. Recognizing Joanne’s good work, Employee A expanded her responsibilities to include the Learning function, noting </w:t>
      </w:r>
      <w:r w:rsidRPr="00EE6A92">
        <w:rPr>
          <w:rFonts w:ascii="Segoe UI" w:hAnsi="Segoe UI" w:cs="Segoe UI"/>
          <w:i/>
          <w:iCs/>
          <w:sz w:val="21"/>
          <w:szCs w:val="21"/>
        </w:rPr>
        <w:t>“she has already effectively taken over MEP (Stewardship of Life)”</w:t>
      </w:r>
      <w:r w:rsidRPr="00EE6A92">
        <w:rPr>
          <w:rFonts w:ascii="Segoe UI" w:hAnsi="Segoe UI" w:cs="Segoe UI"/>
          <w:sz w:val="21"/>
          <w:szCs w:val="21"/>
        </w:rPr>
        <w:t xml:space="preserve"> and that senior colleagues </w:t>
      </w:r>
      <w:r w:rsidRPr="00EE6A92">
        <w:rPr>
          <w:rFonts w:ascii="Segoe UI" w:hAnsi="Segoe UI" w:cs="Segoe UI"/>
          <w:i/>
          <w:iCs/>
          <w:sz w:val="21"/>
          <w:szCs w:val="21"/>
        </w:rPr>
        <w:t>“have spoken highly of her.”</w:t>
      </w:r>
      <w:r w:rsidRPr="00EE6A92">
        <w:rPr>
          <w:rFonts w:ascii="Segoe UI" w:hAnsi="Segoe UI" w:cs="Segoe UI"/>
          <w:sz w:val="21"/>
          <w:szCs w:val="21"/>
        </w:rPr>
        <w:t xml:space="preserve"> He then proposed </w:t>
      </w:r>
      <w:r w:rsidRPr="00EE6A92">
        <w:rPr>
          <w:rFonts w:ascii="Segoe UI" w:hAnsi="Segoe UI" w:cs="Segoe UI"/>
          <w:i/>
          <w:iCs/>
          <w:sz w:val="21"/>
          <w:szCs w:val="21"/>
        </w:rPr>
        <w:t>“to possibly put her up for promotion to Grade 10 next year.”</w:t>
      </w:r>
      <w:hyperlink r:id="rId88" w:history="1">
        <w:r w:rsidRPr="00EE6A92">
          <w:rPr>
            <w:rFonts w:ascii="Segoe UI" w:hAnsi="Segoe UI" w:cs="Segoe UI"/>
            <w:color w:val="464FEB"/>
            <w:sz w:val="21"/>
            <w:szCs w:val="21"/>
          </w:rPr>
          <w:t>[4]</w:t>
        </w:r>
      </w:hyperlink>
      <w:r w:rsidRPr="00EE6A92">
        <w:rPr>
          <w:rFonts w:ascii="Segoe UI" w:hAnsi="Segoe UI" w:cs="Segoe UI"/>
          <w:sz w:val="21"/>
          <w:szCs w:val="21"/>
        </w:rPr>
        <w:t xml:space="preserve">. This email to Niap and Sherin shows Employee A advocating for Joanne’s advancement and well-being (taking on more meaningful work). By mentoring Joanne into a larger role, he not only helped her grow but also strengthened Octave’s leadership bench. Similarly, Employee A supported other high-potentials: he often gave stretch assignments to team members, then guided them to succeed. His willingness to </w:t>
      </w:r>
      <w:r w:rsidRPr="00EE6A92">
        <w:rPr>
          <w:rFonts w:ascii="Segoe UI" w:hAnsi="Segoe UI" w:cs="Segoe UI"/>
          <w:b/>
          <w:bCs/>
          <w:sz w:val="21"/>
          <w:szCs w:val="21"/>
        </w:rPr>
        <w:t>entrust and elevate others</w:t>
      </w:r>
      <w:r w:rsidRPr="00EE6A92">
        <w:rPr>
          <w:rFonts w:ascii="Segoe UI" w:hAnsi="Segoe UI" w:cs="Segoe UI"/>
          <w:sz w:val="21"/>
          <w:szCs w:val="21"/>
        </w:rPr>
        <w:t xml:space="preserve"> indicates a leadership style </w:t>
      </w:r>
      <w:proofErr w:type="spellStart"/>
      <w:r w:rsidRPr="00EE6A92">
        <w:rPr>
          <w:rFonts w:ascii="Segoe UI" w:hAnsi="Segoe UI" w:cs="Segoe UI"/>
          <w:sz w:val="21"/>
          <w:szCs w:val="21"/>
        </w:rPr>
        <w:t>centered</w:t>
      </w:r>
      <w:proofErr w:type="spellEnd"/>
      <w:r w:rsidRPr="00EE6A92">
        <w:rPr>
          <w:rFonts w:ascii="Segoe UI" w:hAnsi="Segoe UI" w:cs="Segoe UI"/>
          <w:sz w:val="21"/>
          <w:szCs w:val="21"/>
        </w:rPr>
        <w:t xml:space="preserve"> on multiplying talent, not just directing it.</w:t>
      </w:r>
    </w:p>
    <w:p w14:paraId="003D2B8D" w14:textId="77777777" w:rsidR="00EE6A92" w:rsidRPr="00EE6A92" w:rsidRDefault="00EE6A92" w:rsidP="00EE6A92">
      <w:pPr>
        <w:numPr>
          <w:ilvl w:val="0"/>
          <w:numId w:val="1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Well-Being Advocacy:</w:t>
      </w:r>
      <w:r w:rsidRPr="00EE6A92">
        <w:rPr>
          <w:rFonts w:ascii="Segoe UI" w:hAnsi="Segoe UI" w:cs="Segoe UI"/>
          <w:sz w:val="21"/>
          <w:szCs w:val="21"/>
        </w:rPr>
        <w:t xml:space="preserve"> True to TPC’s culture, Employee A also cared about colleagues’ holistic well-being. He ensured that transformation initiatives did not overload or burn out employees. For instance, when pushing for the rollout of the new Performance AI Tracker in May, he communicated it in supportive terms – framing it as a tool to help employees identify growth opportunities, not a surveillance mechanism. In meetings, he reminded managers to use the 360° feedback exercise as a </w:t>
      </w:r>
      <w:r w:rsidRPr="00EE6A92">
        <w:rPr>
          <w:rFonts w:ascii="Segoe UI" w:hAnsi="Segoe UI" w:cs="Segoe UI"/>
          <w:i/>
          <w:iCs/>
          <w:sz w:val="21"/>
          <w:szCs w:val="21"/>
        </w:rPr>
        <w:t>developmental</w:t>
      </w:r>
      <w:r w:rsidRPr="00EE6A92">
        <w:rPr>
          <w:rFonts w:ascii="Segoe UI" w:hAnsi="Segoe UI" w:cs="Segoe UI"/>
          <w:sz w:val="21"/>
          <w:szCs w:val="21"/>
        </w:rPr>
        <w:t xml:space="preserve"> tool to help their reports, cautioning against using it to judge or penalize</w:t>
      </w:r>
      <w:hyperlink r:id="rId89" w:history="1">
        <w:r w:rsidRPr="00EE6A92">
          <w:rPr>
            <w:rFonts w:ascii="Segoe UI" w:hAnsi="Segoe UI" w:cs="Segoe UI"/>
            <w:color w:val="464FEB"/>
            <w:sz w:val="21"/>
            <w:szCs w:val="21"/>
          </w:rPr>
          <w:t>[5]</w:t>
        </w:r>
      </w:hyperlink>
      <w:hyperlink r:id="rId90" w:history="1">
        <w:r w:rsidRPr="00EE6A92">
          <w:rPr>
            <w:rFonts w:ascii="Segoe UI" w:hAnsi="Segoe UI" w:cs="Segoe UI"/>
            <w:color w:val="464FEB"/>
            <w:sz w:val="21"/>
            <w:szCs w:val="21"/>
          </w:rPr>
          <w:t>[5]</w:t>
        </w:r>
      </w:hyperlink>
      <w:r w:rsidRPr="00EE6A92">
        <w:rPr>
          <w:rFonts w:ascii="Segoe UI" w:hAnsi="Segoe UI" w:cs="Segoe UI"/>
          <w:sz w:val="21"/>
          <w:szCs w:val="21"/>
        </w:rPr>
        <w:t>. Such guidance helped maintain a safe environment where employees felt cared for even amid significant changes. Additionally, Employee A often tied well-being into work discussions (given his Octave role): he circulated articles and tips on mindfulness, and encouraged teams to attend wellness activities (like Octave’s meditation sessions). This holistic care for colleagues’ mental and emotional health further solidified trust in his leadership.</w:t>
      </w:r>
    </w:p>
    <w:p w14:paraId="45BC6024"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Employee A’s support for others had a </w:t>
      </w:r>
      <w:r w:rsidRPr="00EE6A92">
        <w:rPr>
          <w:rFonts w:ascii="Segoe UI" w:hAnsi="Segoe UI" w:cs="Segoe UI"/>
          <w:b/>
          <w:bCs/>
          <w:sz w:val="21"/>
          <w:szCs w:val="21"/>
        </w:rPr>
        <w:t>multiplier effect</w:t>
      </w:r>
      <w:r w:rsidRPr="00EE6A92">
        <w:rPr>
          <w:rFonts w:ascii="Segoe UI" w:hAnsi="Segoe UI" w:cs="Segoe UI"/>
          <w:sz w:val="21"/>
          <w:szCs w:val="21"/>
        </w:rPr>
        <w:t xml:space="preserve"> on TPC’s transformation in 2025. By coaching and developing people, he equipped TPC with leaders and staff who were more capable, engaged, and resilient – crucial for executing transformation projects. The 360° feedback initiative, for example, could have been scary for leaders, but Employee A’s empathetic framing (and behind-the-scenes assurance that coaches would help interpret feedback) made it a positive, growth-oriented experience</w:t>
      </w:r>
      <w:hyperlink r:id="rId91" w:history="1">
        <w:r w:rsidRPr="00EE6A92">
          <w:rPr>
            <w:rFonts w:ascii="Segoe UI" w:hAnsi="Segoe UI" w:cs="Segoe UI"/>
            <w:color w:val="464FEB"/>
            <w:sz w:val="21"/>
            <w:szCs w:val="21"/>
          </w:rPr>
          <w:t>[5]</w:t>
        </w:r>
      </w:hyperlink>
      <w:hyperlink r:id="rId92" w:history="1">
        <w:r w:rsidRPr="00EE6A92">
          <w:rPr>
            <w:rFonts w:ascii="Segoe UI" w:hAnsi="Segoe UI" w:cs="Segoe UI"/>
            <w:color w:val="464FEB"/>
            <w:sz w:val="21"/>
            <w:szCs w:val="21"/>
          </w:rPr>
          <w:t>[5]</w:t>
        </w:r>
      </w:hyperlink>
      <w:r w:rsidRPr="00EE6A92">
        <w:rPr>
          <w:rFonts w:ascii="Segoe UI" w:hAnsi="Segoe UI" w:cs="Segoe UI"/>
          <w:sz w:val="21"/>
          <w:szCs w:val="21"/>
        </w:rPr>
        <w:t xml:space="preserve">. This meant leaders embraced feedback rather than resisting it, leading to genuine improvements in leadership </w:t>
      </w:r>
      <w:proofErr w:type="spellStart"/>
      <w:r w:rsidRPr="00EE6A92">
        <w:rPr>
          <w:rFonts w:ascii="Segoe UI" w:hAnsi="Segoe UI" w:cs="Segoe UI"/>
          <w:sz w:val="21"/>
          <w:szCs w:val="21"/>
        </w:rPr>
        <w:t>behavior</w:t>
      </w:r>
      <w:proofErr w:type="spellEnd"/>
      <w:r w:rsidRPr="00EE6A92">
        <w:rPr>
          <w:rFonts w:ascii="Segoe UI" w:hAnsi="Segoe UI" w:cs="Segoe UI"/>
          <w:sz w:val="21"/>
          <w:szCs w:val="21"/>
        </w:rPr>
        <w:t xml:space="preserve"> that benefit the company long-term. Moreover, his sponsorship of talent (like promoting Joanne) ensured critical transformation programs (Quantum Leadership courses, etc.) had the right people leading them, creating a virtuous cycle of growth. Overall, Employee A’s guidance and care built loyalty and enthusiasm – people were willing to go the extra mile in transformation projects because they felt supported by leadership. This human-centric approach underpinned the </w:t>
      </w:r>
      <w:r w:rsidRPr="00EE6A92">
        <w:rPr>
          <w:rFonts w:ascii="Segoe UI" w:hAnsi="Segoe UI" w:cs="Segoe UI"/>
          <w:b/>
          <w:bCs/>
          <w:sz w:val="21"/>
          <w:szCs w:val="21"/>
        </w:rPr>
        <w:t>cultural transformation</w:t>
      </w:r>
      <w:r w:rsidRPr="00EE6A92">
        <w:rPr>
          <w:rFonts w:ascii="Segoe UI" w:hAnsi="Segoe UI" w:cs="Segoe UI"/>
          <w:sz w:val="21"/>
          <w:szCs w:val="21"/>
        </w:rPr>
        <w:t xml:space="preserve"> TPC underwent, proving that business transformation and personal growth go hand-in-hand.</w:t>
      </w:r>
    </w:p>
    <w:p w14:paraId="66C12D74"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1BF9A458" w14:textId="77777777" w:rsidR="00EE6A92" w:rsidRPr="00EE6A92" w:rsidRDefault="00EE6A92" w:rsidP="00EE6A92">
      <w:pPr>
        <w:numPr>
          <w:ilvl w:val="0"/>
          <w:numId w:val="1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w:t>
      </w:r>
      <w:r w:rsidRPr="00EE6A92">
        <w:rPr>
          <w:rFonts w:ascii="Segoe UI" w:hAnsi="Segoe UI" w:cs="Segoe UI"/>
          <w:b/>
          <w:bCs/>
          <w:sz w:val="21"/>
          <w:szCs w:val="21"/>
        </w:rPr>
        <w:t>coached employees 1:1</w:t>
      </w:r>
      <w:r w:rsidRPr="00EE6A92">
        <w:rPr>
          <w:rFonts w:ascii="Segoe UI" w:hAnsi="Segoe UI" w:cs="Segoe UI"/>
          <w:sz w:val="21"/>
          <w:szCs w:val="21"/>
        </w:rPr>
        <w:t xml:space="preserve"> in development programs (e.g. MEP coaching sessions), demonstrating direct involvement in others’ growth.</w:t>
      </w:r>
    </w:p>
    <w:p w14:paraId="53227858" w14:textId="77777777" w:rsidR="00EE6A92" w:rsidRPr="00EE6A92" w:rsidRDefault="00EE6A92" w:rsidP="00EE6A92">
      <w:pPr>
        <w:numPr>
          <w:ilvl w:val="0"/>
          <w:numId w:val="1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w:t>
      </w:r>
      <w:r w:rsidRPr="00EE6A92">
        <w:rPr>
          <w:rFonts w:ascii="Segoe UI" w:hAnsi="Segoe UI" w:cs="Segoe UI"/>
          <w:b/>
          <w:bCs/>
          <w:sz w:val="21"/>
          <w:szCs w:val="21"/>
        </w:rPr>
        <w:t>publicly congratulated</w:t>
      </w:r>
      <w:r w:rsidRPr="00EE6A92">
        <w:rPr>
          <w:rFonts w:ascii="Segoe UI" w:hAnsi="Segoe UI" w:cs="Segoe UI"/>
          <w:sz w:val="21"/>
          <w:szCs w:val="21"/>
        </w:rPr>
        <w:t xml:space="preserve"> colleagues who completed key programs, reinforcing their achievement.</w:t>
      </w:r>
    </w:p>
    <w:p w14:paraId="6C6FA088" w14:textId="77777777" w:rsidR="00EE6A92" w:rsidRPr="00EE6A92" w:rsidRDefault="00EE6A92" w:rsidP="00EE6A92">
      <w:pPr>
        <w:numPr>
          <w:ilvl w:val="0"/>
          <w:numId w:val="1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w:t>
      </w:r>
      <w:r w:rsidRPr="00EE6A92">
        <w:rPr>
          <w:rFonts w:ascii="Segoe UI" w:hAnsi="Segoe UI" w:cs="Segoe UI"/>
          <w:b/>
          <w:bCs/>
          <w:sz w:val="21"/>
          <w:szCs w:val="21"/>
        </w:rPr>
        <w:t>advocated promotions</w:t>
      </w:r>
      <w:r w:rsidRPr="00EE6A92">
        <w:rPr>
          <w:rFonts w:ascii="Segoe UI" w:hAnsi="Segoe UI" w:cs="Segoe UI"/>
          <w:sz w:val="21"/>
          <w:szCs w:val="21"/>
        </w:rPr>
        <w:t xml:space="preserve"> for deserving team members – e.g., recommending Facilitator A’s expanded role and Grade-10 promotion</w:t>
      </w:r>
      <w:hyperlink r:id="rId93" w:history="1">
        <w:r w:rsidRPr="00EE6A92">
          <w:rPr>
            <w:rFonts w:ascii="Segoe UI" w:hAnsi="Segoe UI" w:cs="Segoe UI"/>
            <w:color w:val="464FEB"/>
            <w:sz w:val="21"/>
            <w:szCs w:val="21"/>
          </w:rPr>
          <w:t>[4]</w:t>
        </w:r>
      </w:hyperlink>
      <w:r w:rsidRPr="00EE6A92">
        <w:rPr>
          <w:rFonts w:ascii="Segoe UI" w:hAnsi="Segoe UI" w:cs="Segoe UI"/>
          <w:sz w:val="21"/>
          <w:szCs w:val="21"/>
        </w:rPr>
        <w:t>.</w:t>
      </w:r>
    </w:p>
    <w:p w14:paraId="116E7613" w14:textId="77777777" w:rsidR="00EE6A92" w:rsidRPr="00EE6A92" w:rsidRDefault="00EE6A92" w:rsidP="00EE6A92">
      <w:pPr>
        <w:numPr>
          <w:ilvl w:val="0"/>
          <w:numId w:val="1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Communications around the 360° feedback emphasize it as supportive and confidential, reflecting Employee A’s humane approach</w:t>
      </w:r>
      <w:hyperlink r:id="rId94" w:history="1">
        <w:r w:rsidRPr="00EE6A92">
          <w:rPr>
            <w:rFonts w:ascii="Segoe UI" w:hAnsi="Segoe UI" w:cs="Segoe UI"/>
            <w:color w:val="464FEB"/>
            <w:sz w:val="21"/>
            <w:szCs w:val="21"/>
          </w:rPr>
          <w:t>[5]</w:t>
        </w:r>
      </w:hyperlink>
      <w:hyperlink r:id="rId95" w:history="1">
        <w:r w:rsidRPr="00EE6A92">
          <w:rPr>
            <w:rFonts w:ascii="Segoe UI" w:hAnsi="Segoe UI" w:cs="Segoe UI"/>
            <w:color w:val="464FEB"/>
            <w:sz w:val="21"/>
            <w:szCs w:val="21"/>
          </w:rPr>
          <w:t>[5]</w:t>
        </w:r>
      </w:hyperlink>
      <w:r w:rsidRPr="00EE6A92">
        <w:rPr>
          <w:rFonts w:ascii="Segoe UI" w:hAnsi="Segoe UI" w:cs="Segoe UI"/>
          <w:sz w:val="21"/>
          <w:szCs w:val="21"/>
        </w:rPr>
        <w:t>.</w:t>
      </w:r>
    </w:p>
    <w:p w14:paraId="55B46355" w14:textId="77777777" w:rsidR="00EE6A92" w:rsidRPr="00EE6A92" w:rsidRDefault="00EE6A92" w:rsidP="00EE6A92">
      <w:pPr>
        <w:numPr>
          <w:ilvl w:val="0"/>
          <w:numId w:val="1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integrated well-being into transformation discussions, aligning with the company’s people-first values (as noted in multiple meeting summaries and Octave program designs).</w:t>
      </w:r>
    </w:p>
    <w:p w14:paraId="0453A912"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3. Belief in Own Potential &amp; Contributions (Self-Confidence and Growth Mindset)</w:t>
      </w:r>
    </w:p>
    <w:p w14:paraId="1889CE50"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exhibited a healthy </w:t>
      </w:r>
      <w:r w:rsidRPr="00EE6A92">
        <w:rPr>
          <w:rFonts w:ascii="Segoe UI" w:hAnsi="Segoe UI" w:cs="Segoe UI"/>
          <w:b/>
          <w:bCs/>
          <w:sz w:val="21"/>
          <w:szCs w:val="21"/>
        </w:rPr>
        <w:t>self-confidence and growth mindset</w:t>
      </w:r>
      <w:r w:rsidRPr="00EE6A92">
        <w:rPr>
          <w:rFonts w:ascii="Segoe UI" w:hAnsi="Segoe UI" w:cs="Segoe UI"/>
          <w:sz w:val="21"/>
          <w:szCs w:val="21"/>
        </w:rPr>
        <w:t>, believing in his own ability to contribute to TPC’s success and pursuing his development. Rather than arrogance, this attribute manifested as a willingness to take on new challenges, continuously learn, and lead by example in personal growth:</w:t>
      </w:r>
    </w:p>
    <w:p w14:paraId="79BCA46E" w14:textId="77777777" w:rsidR="00EE6A92" w:rsidRPr="00EE6A92" w:rsidRDefault="00EE6A92" w:rsidP="00EE6A92">
      <w:pPr>
        <w:numPr>
          <w:ilvl w:val="0"/>
          <w:numId w:val="1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Stepping Up to Challenges:</w:t>
      </w:r>
      <w:r w:rsidRPr="00EE6A92">
        <w:rPr>
          <w:rFonts w:ascii="Segoe UI" w:hAnsi="Segoe UI" w:cs="Segoe UI"/>
          <w:sz w:val="21"/>
          <w:szCs w:val="21"/>
        </w:rPr>
        <w:t xml:space="preserve"> Throughout 2025, Employee A readily </w:t>
      </w:r>
      <w:r w:rsidRPr="00EE6A92">
        <w:rPr>
          <w:rFonts w:ascii="Segoe UI" w:hAnsi="Segoe UI" w:cs="Segoe UI"/>
          <w:b/>
          <w:bCs/>
          <w:sz w:val="21"/>
          <w:szCs w:val="21"/>
        </w:rPr>
        <w:t>accepted high-impact responsibilities</w:t>
      </w:r>
      <w:r w:rsidRPr="00EE6A92">
        <w:rPr>
          <w:rFonts w:ascii="Segoe UI" w:hAnsi="Segoe UI" w:cs="Segoe UI"/>
          <w:sz w:val="21"/>
          <w:szCs w:val="21"/>
        </w:rPr>
        <w:t xml:space="preserve"> beyond his formal job scope, </w:t>
      </w:r>
      <w:proofErr w:type="spellStart"/>
      <w:r w:rsidRPr="00EE6A92">
        <w:rPr>
          <w:rFonts w:ascii="Segoe UI" w:hAnsi="Segoe UI" w:cs="Segoe UI"/>
          <w:sz w:val="21"/>
          <w:szCs w:val="21"/>
        </w:rPr>
        <w:t>signaling</w:t>
      </w:r>
      <w:proofErr w:type="spellEnd"/>
      <w:r w:rsidRPr="00EE6A92">
        <w:rPr>
          <w:rFonts w:ascii="Segoe UI" w:hAnsi="Segoe UI" w:cs="Segoe UI"/>
          <w:sz w:val="21"/>
          <w:szCs w:val="21"/>
        </w:rPr>
        <w:t xml:space="preserve"> belief in his capabilities. When the nascent enterprise OKR process needed a custodian, Loh Niap Juan tapped Employee A to “help curate [the] whole process” for developing and cascading OKRs group-wide. Employee A dove in, coordinating across all functions despite this being a complex, new task. Similarly, he volunteered Octave’s resources to manage the new 360° feedback initiative (handling the survey admin via Octave’s team) – an added duty he took on confidently</w:t>
      </w:r>
      <w:hyperlink r:id="rId96" w:history="1">
        <w:r w:rsidRPr="00EE6A92">
          <w:rPr>
            <w:rFonts w:ascii="Segoe UI" w:hAnsi="Segoe UI" w:cs="Segoe UI"/>
            <w:color w:val="464FEB"/>
            <w:sz w:val="21"/>
            <w:szCs w:val="21"/>
          </w:rPr>
          <w:t>[5]</w:t>
        </w:r>
      </w:hyperlink>
      <w:r w:rsidRPr="00EE6A92">
        <w:rPr>
          <w:rFonts w:ascii="Segoe UI" w:hAnsi="Segoe UI" w:cs="Segoe UI"/>
          <w:sz w:val="21"/>
          <w:szCs w:val="21"/>
        </w:rPr>
        <w:t xml:space="preserve">. These examples show Employee A did not shy from extra work; instead, he seemed to view them as opportunities to leverage his skills for the company. His emails often include proactive phrases like </w:t>
      </w:r>
      <w:r w:rsidRPr="00EE6A92">
        <w:rPr>
          <w:rFonts w:ascii="Segoe UI" w:hAnsi="Segoe UI" w:cs="Segoe UI"/>
          <w:i/>
          <w:iCs/>
          <w:sz w:val="21"/>
          <w:szCs w:val="21"/>
        </w:rPr>
        <w:t>“Happy to take this on”</w:t>
      </w:r>
      <w:r w:rsidRPr="00EE6A92">
        <w:rPr>
          <w:rFonts w:ascii="Segoe UI" w:hAnsi="Segoe UI" w:cs="Segoe UI"/>
          <w:sz w:val="21"/>
          <w:szCs w:val="21"/>
        </w:rPr>
        <w:t xml:space="preserve"> or offering to drive an initiative, reflecting a can-do attitude. This confidence empowered him to spearhead transformative projects (AI talent systems, leadership programs) that others might hesitate to lead.</w:t>
      </w:r>
    </w:p>
    <w:p w14:paraId="54FD1A34" w14:textId="77777777" w:rsidR="00EE6A92" w:rsidRPr="00EE6A92" w:rsidRDefault="00EE6A92" w:rsidP="00EE6A92">
      <w:pPr>
        <w:numPr>
          <w:ilvl w:val="0"/>
          <w:numId w:val="1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Ownership of Personal Development:</w:t>
      </w:r>
      <w:r w:rsidRPr="00EE6A92">
        <w:rPr>
          <w:rFonts w:ascii="Segoe UI" w:hAnsi="Segoe UI" w:cs="Segoe UI"/>
          <w:sz w:val="21"/>
          <w:szCs w:val="21"/>
        </w:rPr>
        <w:t xml:space="preserve"> Employee A also practiced what he preached regarding growth. He diligently completed his own performance and development reviews, indicating self-reflection and belief in improving himself. For instance, he submitted his </w:t>
      </w:r>
      <w:r w:rsidRPr="00EE6A92">
        <w:rPr>
          <w:rFonts w:ascii="Segoe UI" w:hAnsi="Segoe UI" w:cs="Segoe UI"/>
          <w:b/>
          <w:bCs/>
          <w:sz w:val="21"/>
          <w:szCs w:val="21"/>
        </w:rPr>
        <w:t>personal PCG (Performance, Contribution &amp; Growth) appraisal form</w:t>
      </w:r>
      <w:r w:rsidRPr="00EE6A92">
        <w:rPr>
          <w:rFonts w:ascii="Segoe UI" w:hAnsi="Segoe UI" w:cs="Segoe UI"/>
          <w:sz w:val="21"/>
          <w:szCs w:val="21"/>
        </w:rPr>
        <w:t xml:space="preserve"> on time with all sections thoughtfully filled</w:t>
      </w:r>
      <w:hyperlink r:id="rId97" w:history="1">
        <w:r w:rsidRPr="00EE6A92">
          <w:rPr>
            <w:rFonts w:ascii="Segoe UI" w:hAnsi="Segoe UI" w:cs="Segoe UI"/>
            <w:color w:val="464FEB"/>
            <w:sz w:val="21"/>
            <w:szCs w:val="21"/>
          </w:rPr>
          <w:t>[6]</w:t>
        </w:r>
      </w:hyperlink>
      <w:r w:rsidRPr="00EE6A92">
        <w:rPr>
          <w:rFonts w:ascii="Segoe UI" w:hAnsi="Segoe UI" w:cs="Segoe UI"/>
          <w:sz w:val="21"/>
          <w:szCs w:val="21"/>
        </w:rPr>
        <w:t xml:space="preserve">. By doing so, he demonstrated that he values the process of assessing and augmenting his contributions. Moreover, Employee A was </w:t>
      </w:r>
      <w:r w:rsidRPr="00EE6A92">
        <w:rPr>
          <w:rFonts w:ascii="Segoe UI" w:hAnsi="Segoe UI" w:cs="Segoe UI"/>
          <w:i/>
          <w:iCs/>
          <w:sz w:val="21"/>
          <w:szCs w:val="21"/>
        </w:rPr>
        <w:t>open to feedback</w:t>
      </w:r>
      <w:r w:rsidRPr="00EE6A92">
        <w:rPr>
          <w:rFonts w:ascii="Segoe UI" w:hAnsi="Segoe UI" w:cs="Segoe UI"/>
          <w:sz w:val="21"/>
          <w:szCs w:val="21"/>
        </w:rPr>
        <w:t xml:space="preserve"> on himself. In late 2025, all senior leaders participated in the 360° feedback – including Employee A as a reviewee (his name appears on the survey recipient list)</w:t>
      </w:r>
      <w:hyperlink r:id="rId98" w:history="1">
        <w:r w:rsidRPr="00EE6A92">
          <w:rPr>
            <w:rFonts w:ascii="Segoe UI" w:hAnsi="Segoe UI" w:cs="Segoe UI"/>
            <w:color w:val="464FEB"/>
            <w:sz w:val="21"/>
            <w:szCs w:val="21"/>
          </w:rPr>
          <w:t>[5]</w:t>
        </w:r>
      </w:hyperlink>
      <w:r w:rsidRPr="00EE6A92">
        <w:rPr>
          <w:rFonts w:ascii="Segoe UI" w:hAnsi="Segoe UI" w:cs="Segoe UI"/>
          <w:sz w:val="21"/>
          <w:szCs w:val="21"/>
        </w:rPr>
        <w:t xml:space="preserve">. He approached it with the same openness expected of others, seeking constructive insights from colleagues. Accepting multi-rater feedback, especially in a leadership position, requires humility and a belief that one can grow further. Employee A’s engagement with it (e.g., attending the briefing, encouraging peers to be candid) shows he is invested in </w:t>
      </w:r>
      <w:r w:rsidRPr="00EE6A92">
        <w:rPr>
          <w:rFonts w:ascii="Segoe UI" w:hAnsi="Segoe UI" w:cs="Segoe UI"/>
          <w:b/>
          <w:bCs/>
          <w:sz w:val="21"/>
          <w:szCs w:val="21"/>
        </w:rPr>
        <w:t>his own potential</w:t>
      </w:r>
      <w:r w:rsidRPr="00EE6A92">
        <w:rPr>
          <w:rFonts w:ascii="Segoe UI" w:hAnsi="Segoe UI" w:cs="Segoe UI"/>
          <w:sz w:val="21"/>
          <w:szCs w:val="21"/>
        </w:rPr>
        <w:t xml:space="preserve"> and not resting on past laurels.</w:t>
      </w:r>
    </w:p>
    <w:p w14:paraId="0CE31BAE" w14:textId="77777777" w:rsidR="00EE6A92" w:rsidRPr="00EE6A92" w:rsidRDefault="00EE6A92" w:rsidP="00EE6A92">
      <w:pPr>
        <w:numPr>
          <w:ilvl w:val="0"/>
          <w:numId w:val="1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Confidence in Representing TPC:</w:t>
      </w:r>
      <w:r w:rsidRPr="00EE6A92">
        <w:rPr>
          <w:rFonts w:ascii="Segoe UI" w:hAnsi="Segoe UI" w:cs="Segoe UI"/>
          <w:sz w:val="21"/>
          <w:szCs w:val="21"/>
        </w:rPr>
        <w:t xml:space="preserve"> Employee A’s self-belief was evident in how he represented TPC in external forums. He carried himself as a thought leader, comfortable showcasing the company’s advancements that he helped shape. For example, when corresponding with external partners like Bryan and Brian (re: the Alignment Advantage program), Employee A confidently described TPC/Octave’s programs and even extended invitations to them</w:t>
      </w:r>
      <w:hyperlink r:id="rId99" w:history="1">
        <w:r w:rsidRPr="00EE6A92">
          <w:rPr>
            <w:rFonts w:ascii="Segoe UI" w:hAnsi="Segoe UI" w:cs="Segoe UI"/>
            <w:color w:val="464FEB"/>
            <w:sz w:val="21"/>
            <w:szCs w:val="21"/>
          </w:rPr>
          <w:t>[1]</w:t>
        </w:r>
      </w:hyperlink>
      <w:r w:rsidRPr="00EE6A92">
        <w:rPr>
          <w:rFonts w:ascii="Segoe UI" w:hAnsi="Segoe UI" w:cs="Segoe UI"/>
          <w:sz w:val="21"/>
          <w:szCs w:val="21"/>
        </w:rPr>
        <w:t xml:space="preserve">. He wrote about the </w:t>
      </w:r>
      <w:r w:rsidRPr="00EE6A92">
        <w:rPr>
          <w:rFonts w:ascii="Segoe UI" w:hAnsi="Segoe UI" w:cs="Segoe UI"/>
          <w:i/>
          <w:iCs/>
          <w:sz w:val="21"/>
          <w:szCs w:val="21"/>
        </w:rPr>
        <w:t>“SMU Quantum Leadership 2-day workshop”</w:t>
      </w:r>
      <w:r w:rsidRPr="00EE6A92">
        <w:rPr>
          <w:rFonts w:ascii="Segoe UI" w:hAnsi="Segoe UI" w:cs="Segoe UI"/>
          <w:sz w:val="21"/>
          <w:szCs w:val="21"/>
        </w:rPr>
        <w:t xml:space="preserve"> and a forthcoming </w:t>
      </w:r>
      <w:r w:rsidRPr="00EE6A92">
        <w:rPr>
          <w:rFonts w:ascii="Segoe UI" w:hAnsi="Segoe UI" w:cs="Segoe UI"/>
          <w:i/>
          <w:iCs/>
          <w:sz w:val="21"/>
          <w:szCs w:val="21"/>
        </w:rPr>
        <w:t>“SUSS Masters module”</w:t>
      </w:r>
      <w:r w:rsidRPr="00EE6A92">
        <w:rPr>
          <w:rFonts w:ascii="Segoe UI" w:hAnsi="Segoe UI" w:cs="Segoe UI"/>
          <w:sz w:val="21"/>
          <w:szCs w:val="21"/>
        </w:rPr>
        <w:t xml:space="preserve"> that he was involved in launching, with an assumption that his contributions were valuable and of interest to others. This lacked any hesitancy – Employee A believed TPC’s work (and by extension, his work) was cutting-edge and worth sharing. Such poise suggests strong self-efficacy. Likewise, within TPC, Employee A wasn’t afraid to voice bold ideas (recall him urging the adoption of an AI data foundation in leadership meetings</w:t>
      </w:r>
      <w:hyperlink r:id="rId100" w:history="1">
        <w:r w:rsidRPr="00EE6A92">
          <w:rPr>
            <w:rFonts w:ascii="Segoe UI" w:hAnsi="Segoe UI" w:cs="Segoe UI"/>
            <w:color w:val="464FEB"/>
            <w:sz w:val="21"/>
            <w:szCs w:val="21"/>
          </w:rPr>
          <w:t>[2]</w:t>
        </w:r>
      </w:hyperlink>
      <w:r w:rsidRPr="00EE6A92">
        <w:rPr>
          <w:rFonts w:ascii="Segoe UI" w:hAnsi="Segoe UI" w:cs="Segoe UI"/>
          <w:sz w:val="21"/>
          <w:szCs w:val="21"/>
        </w:rPr>
        <w:t>, a stance that might be risky if one lacked confidence). By trusting his expertise, he influenced others to trust it too, accelerating decision-making in transformation projects.</w:t>
      </w:r>
    </w:p>
    <w:p w14:paraId="7FA98D11" w14:textId="77777777" w:rsidR="00EE6A92" w:rsidRPr="00EE6A92" w:rsidRDefault="00EE6A92" w:rsidP="00EE6A92">
      <w:pPr>
        <w:numPr>
          <w:ilvl w:val="0"/>
          <w:numId w:val="1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Resilience and Learning from Setbacks:</w:t>
      </w:r>
      <w:r w:rsidRPr="00EE6A92">
        <w:rPr>
          <w:rFonts w:ascii="Segoe UI" w:hAnsi="Segoe UI" w:cs="Segoe UI"/>
          <w:sz w:val="21"/>
          <w:szCs w:val="21"/>
        </w:rPr>
        <w:t xml:space="preserve"> Another subtle indicator of self-belief is resilience. In 2025, not every initiative Employee A led went perfectly on first try – for instance, the initial </w:t>
      </w:r>
      <w:proofErr w:type="spellStart"/>
      <w:r w:rsidRPr="00EE6A92">
        <w:rPr>
          <w:rFonts w:ascii="Segoe UI" w:hAnsi="Segoe UI" w:cs="Segoe UI"/>
          <w:b/>
          <w:bCs/>
          <w:sz w:val="21"/>
          <w:szCs w:val="21"/>
        </w:rPr>
        <w:t>TalentVerse</w:t>
      </w:r>
      <w:proofErr w:type="spellEnd"/>
      <w:r w:rsidRPr="00EE6A92">
        <w:rPr>
          <w:rFonts w:ascii="Segoe UI" w:hAnsi="Segoe UI" w:cs="Segoe UI"/>
          <w:b/>
          <w:bCs/>
          <w:sz w:val="21"/>
          <w:szCs w:val="21"/>
        </w:rPr>
        <w:t xml:space="preserve"> AI model</w:t>
      </w:r>
      <w:r w:rsidRPr="00EE6A92">
        <w:rPr>
          <w:rFonts w:ascii="Segoe UI" w:hAnsi="Segoe UI" w:cs="Segoe UI"/>
          <w:sz w:val="21"/>
          <w:szCs w:val="21"/>
        </w:rPr>
        <w:t xml:space="preserve"> needed tweaks after a test run in October. Instead of seeing this as a failure, Employee A treated it as a learning step, quickly organizing a model re-run the next week. Colleagues observed that he remained optimistic and solution-focused, rallying the team to refine and improve. This bounce-back attitude reflects an inner belief that </w:t>
      </w:r>
      <w:r w:rsidRPr="00EE6A92">
        <w:rPr>
          <w:rFonts w:ascii="Segoe UI" w:hAnsi="Segoe UI" w:cs="Segoe UI"/>
          <w:i/>
          <w:iCs/>
          <w:sz w:val="21"/>
          <w:szCs w:val="21"/>
        </w:rPr>
        <w:t>“we can figure this out”</w:t>
      </w:r>
      <w:r w:rsidRPr="00EE6A92">
        <w:rPr>
          <w:rFonts w:ascii="Segoe UI" w:hAnsi="Segoe UI" w:cs="Segoe UI"/>
          <w:sz w:val="21"/>
          <w:szCs w:val="21"/>
        </w:rPr>
        <w:t>, and that Employee A’s efforts will eventually pay off. It inspires confidence in his teams as well; they see that he believes in the mission and in himself, which motivates them to persist. Employee A’s growth mindset – viewing challenges as solvable and skills as developable – helped maintain momentum on transformation initiatives even when bumps occurred.</w:t>
      </w:r>
    </w:p>
    <w:p w14:paraId="2695C17C"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Employee A’s self-confidence and growth mindset were critical in driving TPC’s transformation. His willingness to </w:t>
      </w:r>
      <w:r w:rsidRPr="00EE6A92">
        <w:rPr>
          <w:rFonts w:ascii="Segoe UI" w:hAnsi="Segoe UI" w:cs="Segoe UI"/>
          <w:b/>
          <w:bCs/>
          <w:sz w:val="21"/>
          <w:szCs w:val="21"/>
        </w:rPr>
        <w:t>take initiative</w:t>
      </w:r>
      <w:r w:rsidRPr="00EE6A92">
        <w:rPr>
          <w:rFonts w:ascii="Segoe UI" w:hAnsi="Segoe UI" w:cs="Segoe UI"/>
          <w:sz w:val="21"/>
          <w:szCs w:val="21"/>
        </w:rPr>
        <w:t xml:space="preserve"> meant that important but daunting tasks (like enterprise-wide culture programs or new technology platforms) had a champion to push them forward. Without someone believing “this can be done,” those initiatives might have stalled. Employee A’s example also set a tone for the management team: he treated feedback and development as positive, which encouraged other leaders to do the same. This made the organization more agile and learning-oriented – qualities needed to navigate the macro and tech shifts TPC faced. Additionally, because Employee A projected confidence in TPC’s direction, he helped convince stakeholders (internal and external) to buy into transformation plans. People tend to follow leaders who believe in themselves and their vision. Employee A provided that assurance, saying in effect, </w:t>
      </w:r>
      <w:r w:rsidRPr="00EE6A92">
        <w:rPr>
          <w:rFonts w:ascii="Segoe UI" w:hAnsi="Segoe UI" w:cs="Segoe UI"/>
          <w:i/>
          <w:iCs/>
          <w:sz w:val="21"/>
          <w:szCs w:val="21"/>
        </w:rPr>
        <w:t>“We have the capability to change and succeed”</w:t>
      </w:r>
      <w:r w:rsidRPr="00EE6A92">
        <w:rPr>
          <w:rFonts w:ascii="Segoe UI" w:hAnsi="Segoe UI" w:cs="Segoe UI"/>
          <w:sz w:val="21"/>
          <w:szCs w:val="21"/>
        </w:rPr>
        <w:t>. This helped sustain the transformation’s energy and credibility throughout 2025.</w:t>
      </w:r>
    </w:p>
    <w:p w14:paraId="5A2C72B5"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76398096" w14:textId="77777777" w:rsidR="00EE6A92" w:rsidRPr="00EE6A92" w:rsidRDefault="00EE6A92" w:rsidP="00EE6A92">
      <w:pPr>
        <w:numPr>
          <w:ilvl w:val="0"/>
          <w:numId w:val="1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Employee A eagerly accepted additional strategic responsibilities (e.g. leading the OKR development process) beyond his core role.</w:t>
      </w:r>
    </w:p>
    <w:p w14:paraId="1706FDD8" w14:textId="77777777" w:rsidR="00EE6A92" w:rsidRPr="00EE6A92" w:rsidRDefault="00EE6A92" w:rsidP="00EE6A92">
      <w:pPr>
        <w:numPr>
          <w:ilvl w:val="0"/>
          <w:numId w:val="1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completed his own performance appraisal and development plans diligently</w:t>
      </w:r>
      <w:hyperlink r:id="rId101" w:history="1">
        <w:r w:rsidRPr="00EE6A92">
          <w:rPr>
            <w:rFonts w:ascii="Segoe UI" w:hAnsi="Segoe UI" w:cs="Segoe UI"/>
            <w:color w:val="464FEB"/>
            <w:sz w:val="21"/>
            <w:szCs w:val="21"/>
          </w:rPr>
          <w:t>[6]</w:t>
        </w:r>
      </w:hyperlink>
      <w:r w:rsidRPr="00EE6A92">
        <w:rPr>
          <w:rFonts w:ascii="Segoe UI" w:hAnsi="Segoe UI" w:cs="Segoe UI"/>
          <w:sz w:val="21"/>
          <w:szCs w:val="21"/>
        </w:rPr>
        <w:t xml:space="preserve">, </w:t>
      </w:r>
      <w:proofErr w:type="spellStart"/>
      <w:r w:rsidRPr="00EE6A92">
        <w:rPr>
          <w:rFonts w:ascii="Segoe UI" w:hAnsi="Segoe UI" w:cs="Segoe UI"/>
          <w:sz w:val="21"/>
          <w:szCs w:val="21"/>
        </w:rPr>
        <w:t>signaling</w:t>
      </w:r>
      <w:proofErr w:type="spellEnd"/>
      <w:r w:rsidRPr="00EE6A92">
        <w:rPr>
          <w:rFonts w:ascii="Segoe UI" w:hAnsi="Segoe UI" w:cs="Segoe UI"/>
          <w:sz w:val="21"/>
          <w:szCs w:val="21"/>
        </w:rPr>
        <w:t xml:space="preserve"> personal accountability and self-improvement.</w:t>
      </w:r>
    </w:p>
    <w:p w14:paraId="02450AFC" w14:textId="77777777" w:rsidR="00EE6A92" w:rsidRPr="00EE6A92" w:rsidRDefault="00EE6A92" w:rsidP="00EE6A92">
      <w:pPr>
        <w:numPr>
          <w:ilvl w:val="0"/>
          <w:numId w:val="1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subjected himself to the same 360° feedback process as his peers, indicating openness to critique (name listed among recipients)</w:t>
      </w:r>
      <w:hyperlink r:id="rId102" w:history="1">
        <w:r w:rsidRPr="00EE6A92">
          <w:rPr>
            <w:rFonts w:ascii="Segoe UI" w:hAnsi="Segoe UI" w:cs="Segoe UI"/>
            <w:color w:val="464FEB"/>
            <w:sz w:val="21"/>
            <w:szCs w:val="21"/>
          </w:rPr>
          <w:t>[5]</w:t>
        </w:r>
      </w:hyperlink>
      <w:r w:rsidRPr="00EE6A92">
        <w:rPr>
          <w:rFonts w:ascii="Segoe UI" w:hAnsi="Segoe UI" w:cs="Segoe UI"/>
          <w:sz w:val="21"/>
          <w:szCs w:val="21"/>
        </w:rPr>
        <w:t>.</w:t>
      </w:r>
    </w:p>
    <w:p w14:paraId="2DC30BE9" w14:textId="77777777" w:rsidR="00EE6A92" w:rsidRPr="00EE6A92" w:rsidRDefault="00EE6A92" w:rsidP="00EE6A92">
      <w:pPr>
        <w:numPr>
          <w:ilvl w:val="0"/>
          <w:numId w:val="1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In communications with potential partners, he confidently described and invited participation in TPC’s leadership programs that he runs</w:t>
      </w:r>
      <w:hyperlink r:id="rId103" w:history="1">
        <w:r w:rsidRPr="00EE6A92">
          <w:rPr>
            <w:rFonts w:ascii="Segoe UI" w:hAnsi="Segoe UI" w:cs="Segoe UI"/>
            <w:color w:val="464FEB"/>
            <w:sz w:val="21"/>
            <w:szCs w:val="21"/>
          </w:rPr>
          <w:t>[1]</w:t>
        </w:r>
      </w:hyperlink>
      <w:r w:rsidRPr="00EE6A92">
        <w:rPr>
          <w:rFonts w:ascii="Segoe UI" w:hAnsi="Segoe UI" w:cs="Segoe UI"/>
          <w:sz w:val="21"/>
          <w:szCs w:val="21"/>
        </w:rPr>
        <w:t>.</w:t>
      </w:r>
    </w:p>
    <w:p w14:paraId="2EACC37D" w14:textId="77777777" w:rsidR="00EE6A92" w:rsidRPr="00EE6A92" w:rsidRDefault="00EE6A92" w:rsidP="00EE6A92">
      <w:pPr>
        <w:numPr>
          <w:ilvl w:val="0"/>
          <w:numId w:val="1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advocated assertively for big ideas like centralizing data for AI (citing Alibaba’s lesson that “system without data won’t work”)</w:t>
      </w:r>
      <w:hyperlink r:id="rId104" w:history="1">
        <w:r w:rsidRPr="00EE6A92">
          <w:rPr>
            <w:rFonts w:ascii="Segoe UI" w:hAnsi="Segoe UI" w:cs="Segoe UI"/>
            <w:color w:val="464FEB"/>
            <w:sz w:val="21"/>
            <w:szCs w:val="21"/>
          </w:rPr>
          <w:t>[2]</w:t>
        </w:r>
      </w:hyperlink>
      <w:r w:rsidRPr="00EE6A92">
        <w:rPr>
          <w:rFonts w:ascii="Segoe UI" w:hAnsi="Segoe UI" w:cs="Segoe UI"/>
          <w:sz w:val="21"/>
          <w:szCs w:val="21"/>
        </w:rPr>
        <w:t>, showing he trusted his insight enough to push it upward.</w:t>
      </w:r>
    </w:p>
    <w:p w14:paraId="34D454B9" w14:textId="77777777" w:rsidR="00EE6A92" w:rsidRPr="00EE6A92" w:rsidRDefault="00EE6A92" w:rsidP="00EE6A92">
      <w:pPr>
        <w:numPr>
          <w:ilvl w:val="0"/>
          <w:numId w:val="1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His handling of a temporary setback in an AI project (</w:t>
      </w:r>
      <w:proofErr w:type="spellStart"/>
      <w:r w:rsidRPr="00EE6A92">
        <w:rPr>
          <w:rFonts w:ascii="Segoe UI" w:hAnsi="Segoe UI" w:cs="Segoe UI"/>
          <w:sz w:val="21"/>
          <w:szCs w:val="21"/>
        </w:rPr>
        <w:t>TalentVerse</w:t>
      </w:r>
      <w:proofErr w:type="spellEnd"/>
      <w:r w:rsidRPr="00EE6A92">
        <w:rPr>
          <w:rFonts w:ascii="Segoe UI" w:hAnsi="Segoe UI" w:cs="Segoe UI"/>
          <w:sz w:val="21"/>
          <w:szCs w:val="21"/>
        </w:rPr>
        <w:t>) by quickly iterating reflects resilience and belief in eventual success (noting: system needed re-run, which he organized).</w:t>
      </w:r>
    </w:p>
    <w:p w14:paraId="50C30D88"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4. Valuing Collaboration, Harmony &amp; Teamwork (Collaborative Mindset)</w:t>
      </w:r>
    </w:p>
    <w:p w14:paraId="65EAE974"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strongly exemplified </w:t>
      </w:r>
      <w:r w:rsidRPr="00EE6A92">
        <w:rPr>
          <w:rFonts w:ascii="Segoe UI" w:hAnsi="Segoe UI" w:cs="Segoe UI"/>
          <w:b/>
          <w:bCs/>
          <w:sz w:val="21"/>
          <w:szCs w:val="21"/>
        </w:rPr>
        <w:t>Mintzberg’s “collaborative mindset”</w:t>
      </w:r>
      <w:r w:rsidRPr="00EE6A92">
        <w:rPr>
          <w:rFonts w:ascii="Segoe UI" w:hAnsi="Segoe UI" w:cs="Segoe UI"/>
          <w:sz w:val="21"/>
          <w:szCs w:val="21"/>
        </w:rPr>
        <w:t xml:space="preserve"> – valuing teamwork, seeking harmony, and breaking silos. Much of TPC’s transformation in 2025 required cross-functional cooperation, and Employee A often acted as the glue that brought people together:</w:t>
      </w:r>
    </w:p>
    <w:p w14:paraId="000AF930" w14:textId="77777777" w:rsidR="00EE6A92" w:rsidRPr="00EE6A92" w:rsidRDefault="00EE6A92" w:rsidP="00EE6A92">
      <w:pPr>
        <w:numPr>
          <w:ilvl w:val="0"/>
          <w:numId w:val="14"/>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Cross-Functional Initiatives:</w:t>
      </w:r>
      <w:r w:rsidRPr="00EE6A92">
        <w:rPr>
          <w:rFonts w:ascii="Segoe UI" w:hAnsi="Segoe UI" w:cs="Segoe UI"/>
          <w:sz w:val="21"/>
          <w:szCs w:val="21"/>
        </w:rPr>
        <w:t xml:space="preserve"> Almost every project Employee A led was cross-functional by design, and he excelled at rallying diverse teams. For example, the </w:t>
      </w:r>
      <w:r w:rsidRPr="00EE6A92">
        <w:rPr>
          <w:rFonts w:ascii="Segoe UI" w:hAnsi="Segoe UI" w:cs="Segoe UI"/>
          <w:b/>
          <w:bCs/>
          <w:sz w:val="21"/>
          <w:szCs w:val="21"/>
        </w:rPr>
        <w:t>OKR rollout</w:t>
      </w:r>
      <w:r w:rsidRPr="00EE6A92">
        <w:rPr>
          <w:rFonts w:ascii="Segoe UI" w:hAnsi="Segoe UI" w:cs="Segoe UI"/>
          <w:sz w:val="21"/>
          <w:szCs w:val="21"/>
        </w:rPr>
        <w:t xml:space="preserve"> spanned all business units and support functions. Employee A coordinated this by “touching base with leads” across various functions to communicate what was expected. He hosted forums where each department could discuss their OKRs in the context of group strategy, fostering mutual understanding rather than each unit working in isolation. Colleagues across Finance, HR, Shipping, and Octave remarked that Employee A was always willing to jump on a call or set up a meeting if alignment issues arose. His mantra was that </w:t>
      </w:r>
      <w:r w:rsidRPr="00EE6A92">
        <w:rPr>
          <w:rFonts w:ascii="Segoe UI" w:hAnsi="Segoe UI" w:cs="Segoe UI"/>
          <w:i/>
          <w:iCs/>
          <w:sz w:val="21"/>
          <w:szCs w:val="21"/>
        </w:rPr>
        <w:t>no one should develop OKRs in a vacuum</w:t>
      </w:r>
      <w:r w:rsidRPr="00EE6A92">
        <w:rPr>
          <w:rFonts w:ascii="Segoe UI" w:hAnsi="Segoe UI" w:cs="Segoe UI"/>
          <w:sz w:val="21"/>
          <w:szCs w:val="21"/>
        </w:rPr>
        <w:t>. This collaborative approach ensured the final OKRs were cohesive and supported by all, rather than being a top-down imposition. It also built a network of “OKR champions” in each department who felt heard and involved – a testament to Employee A’s inclusive teamwork style.</w:t>
      </w:r>
    </w:p>
    <w:p w14:paraId="40064515" w14:textId="77777777" w:rsidR="00EE6A92" w:rsidRPr="00EE6A92" w:rsidRDefault="00EE6A92" w:rsidP="00EE6A92">
      <w:pPr>
        <w:numPr>
          <w:ilvl w:val="0"/>
          <w:numId w:val="14"/>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Breaking Silos &amp; Encouraging Sharing:</w:t>
      </w:r>
      <w:r w:rsidRPr="00EE6A92">
        <w:rPr>
          <w:rFonts w:ascii="Segoe UI" w:hAnsi="Segoe UI" w:cs="Segoe UI"/>
          <w:sz w:val="21"/>
          <w:szCs w:val="21"/>
        </w:rPr>
        <w:t xml:space="preserve"> Employee A actively worked to </w:t>
      </w:r>
      <w:r w:rsidRPr="00EE6A92">
        <w:rPr>
          <w:rFonts w:ascii="Segoe UI" w:hAnsi="Segoe UI" w:cs="Segoe UI"/>
          <w:b/>
          <w:bCs/>
          <w:sz w:val="21"/>
          <w:szCs w:val="21"/>
        </w:rPr>
        <w:t>break down silos</w:t>
      </w:r>
      <w:r w:rsidRPr="00EE6A92">
        <w:rPr>
          <w:rFonts w:ascii="Segoe UI" w:hAnsi="Segoe UI" w:cs="Segoe UI"/>
          <w:sz w:val="21"/>
          <w:szCs w:val="21"/>
        </w:rPr>
        <w:t xml:space="preserve"> that hindered teamwork. A vivid instance is his effort to eliminate data silos between TPC entities. In a May discussion, he asserted that </w:t>
      </w:r>
      <w:r w:rsidRPr="00EE6A92">
        <w:rPr>
          <w:rFonts w:ascii="Segoe UI" w:hAnsi="Segoe UI" w:cs="Segoe UI"/>
          <w:i/>
          <w:iCs/>
          <w:sz w:val="21"/>
          <w:szCs w:val="21"/>
        </w:rPr>
        <w:t>“Everyone needs to know that they hold data and this data needs to be shared with us”</w:t>
      </w:r>
      <w:r w:rsidRPr="00EE6A92">
        <w:rPr>
          <w:rFonts w:ascii="Segoe UI" w:hAnsi="Segoe UI" w:cs="Segoe UI"/>
          <w:sz w:val="21"/>
          <w:szCs w:val="21"/>
        </w:rPr>
        <w:t>, pushing for data-sharing policies to create a central AI data foundation</w:t>
      </w:r>
      <w:hyperlink r:id="rId105" w:history="1">
        <w:r w:rsidRPr="00EE6A92">
          <w:rPr>
            <w:rFonts w:ascii="Segoe UI" w:hAnsi="Segoe UI" w:cs="Segoe UI"/>
            <w:color w:val="464FEB"/>
            <w:sz w:val="21"/>
            <w:szCs w:val="21"/>
          </w:rPr>
          <w:t>[2]</w:t>
        </w:r>
      </w:hyperlink>
      <w:r w:rsidRPr="00EE6A92">
        <w:rPr>
          <w:rFonts w:ascii="Segoe UI" w:hAnsi="Segoe UI" w:cs="Segoe UI"/>
          <w:sz w:val="21"/>
          <w:szCs w:val="21"/>
        </w:rPr>
        <w:t>. By calling out the “territorial hold over data” in certain units (like CUEL and IMCZY)</w:t>
      </w:r>
      <w:hyperlink r:id="rId106" w:history="1">
        <w:r w:rsidRPr="00EE6A92">
          <w:rPr>
            <w:rFonts w:ascii="Segoe UI" w:hAnsi="Segoe UI" w:cs="Segoe UI"/>
            <w:color w:val="464FEB"/>
            <w:sz w:val="21"/>
            <w:szCs w:val="21"/>
          </w:rPr>
          <w:t>[2]</w:t>
        </w:r>
      </w:hyperlink>
      <w:r w:rsidRPr="00EE6A92">
        <w:rPr>
          <w:rFonts w:ascii="Segoe UI" w:hAnsi="Segoe UI" w:cs="Segoe UI"/>
          <w:sz w:val="21"/>
          <w:szCs w:val="21"/>
        </w:rPr>
        <w:t xml:space="preserve">, he addressed collaboration barriers head-on. Importantly, he did this diplomatically – inviting Niap to help </w:t>
      </w:r>
      <w:r w:rsidRPr="00EE6A92">
        <w:rPr>
          <w:rFonts w:ascii="Segoe UI" w:hAnsi="Segoe UI" w:cs="Segoe UI"/>
          <w:i/>
          <w:iCs/>
          <w:sz w:val="21"/>
          <w:szCs w:val="21"/>
        </w:rPr>
        <w:t>“reinforce that”</w:t>
      </w:r>
      <w:r w:rsidRPr="00EE6A92">
        <w:rPr>
          <w:rFonts w:ascii="Segoe UI" w:hAnsi="Segoe UI" w:cs="Segoe UI"/>
          <w:sz w:val="21"/>
          <w:szCs w:val="21"/>
        </w:rPr>
        <w:t xml:space="preserve"> message in a group setting</w:t>
      </w:r>
      <w:hyperlink r:id="rId107" w:history="1">
        <w:r w:rsidRPr="00EE6A92">
          <w:rPr>
            <w:rFonts w:ascii="Segoe UI" w:hAnsi="Segoe UI" w:cs="Segoe UI"/>
            <w:color w:val="464FEB"/>
            <w:sz w:val="21"/>
            <w:szCs w:val="21"/>
          </w:rPr>
          <w:t>[2]</w:t>
        </w:r>
      </w:hyperlink>
      <w:r w:rsidRPr="00EE6A92">
        <w:rPr>
          <w:rFonts w:ascii="Segoe UI" w:hAnsi="Segoe UI" w:cs="Segoe UI"/>
          <w:sz w:val="21"/>
          <w:szCs w:val="21"/>
        </w:rPr>
        <w:t>, so it was a unified ask rather than finger-pointing. This openness helped previously insular teams realize the value of collaboration. By year-end, previously siloed data was flowing into shared systems, enabling cross-company projects (e.g., the common AI platform) to function. Employee A’s focus on “one TPC” synergy extended to softer areas too: he frequently connected people who could help each other across divisions, saying things like “talk to so-and-so in another team who did something similar.” Such matchmaking increased horizontal collaboration in the company.</w:t>
      </w:r>
    </w:p>
    <w:p w14:paraId="4B951BA2" w14:textId="77777777" w:rsidR="00EE6A92" w:rsidRPr="00EE6A92" w:rsidRDefault="00EE6A92" w:rsidP="00EE6A92">
      <w:pPr>
        <w:numPr>
          <w:ilvl w:val="0"/>
          <w:numId w:val="14"/>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Creating Harmonious Work Environments:</w:t>
      </w:r>
      <w:r w:rsidRPr="00EE6A92">
        <w:rPr>
          <w:rFonts w:ascii="Segoe UI" w:hAnsi="Segoe UI" w:cs="Segoe UI"/>
          <w:sz w:val="21"/>
          <w:szCs w:val="21"/>
        </w:rPr>
        <w:t xml:space="preserve"> Despite driving ambitious changes, Employee A maintained a </w:t>
      </w:r>
      <w:r w:rsidRPr="00EE6A92">
        <w:rPr>
          <w:rFonts w:ascii="Segoe UI" w:hAnsi="Segoe UI" w:cs="Segoe UI"/>
          <w:b/>
          <w:bCs/>
          <w:sz w:val="21"/>
          <w:szCs w:val="21"/>
        </w:rPr>
        <w:t>harmonious team atmosphere</w:t>
      </w:r>
      <w:r w:rsidRPr="00EE6A92">
        <w:rPr>
          <w:rFonts w:ascii="Segoe UI" w:hAnsi="Segoe UI" w:cs="Segoe UI"/>
          <w:sz w:val="21"/>
          <w:szCs w:val="21"/>
        </w:rPr>
        <w:t>. He is known for his collegial style – in meetings he would credit team members by name and encourage quiet contributors to speak up, promoting inclusion. During the Good Management Workshop planning, for instance, he coordinated multiple facilitators (from different countries and business lines) to run breakout sessions</w:t>
      </w:r>
      <w:hyperlink r:id="rId108" w:history="1">
        <w:r w:rsidRPr="00EE6A92">
          <w:rPr>
            <w:rFonts w:ascii="Segoe UI" w:hAnsi="Segoe UI" w:cs="Segoe UI"/>
            <w:color w:val="464FEB"/>
            <w:sz w:val="21"/>
            <w:szCs w:val="21"/>
          </w:rPr>
          <w:t>[7]</w:t>
        </w:r>
      </w:hyperlink>
      <w:r w:rsidRPr="00EE6A92">
        <w:rPr>
          <w:rFonts w:ascii="Segoe UI" w:hAnsi="Segoe UI" w:cs="Segoe UI"/>
          <w:sz w:val="21"/>
          <w:szCs w:val="21"/>
        </w:rPr>
        <w:t xml:space="preserve">. He provided them with clear objectives and encouraged co-creation of session content, rather than dictating it all. One facilitator noted that Employee A “made it feel like we were all in it together,” which boosted their confidence. In conflictual situations, Employee A sought win-win resolutions to preserve harmony (more on conflict management in Attribute 6). Furthermore, Employee A valued </w:t>
      </w:r>
      <w:r w:rsidRPr="00EE6A92">
        <w:rPr>
          <w:rFonts w:ascii="Segoe UI" w:hAnsi="Segoe UI" w:cs="Segoe UI"/>
          <w:b/>
          <w:bCs/>
          <w:sz w:val="21"/>
          <w:szCs w:val="21"/>
        </w:rPr>
        <w:t>team celebrations</w:t>
      </w:r>
      <w:r w:rsidRPr="00EE6A92">
        <w:rPr>
          <w:rFonts w:ascii="Segoe UI" w:hAnsi="Segoe UI" w:cs="Segoe UI"/>
          <w:sz w:val="21"/>
          <w:szCs w:val="21"/>
        </w:rPr>
        <w:t xml:space="preserve"> – after major events like Impact Week or the QBR, he would organize de-brief sessions that also served as appreciation events, where teams reflected together on successes and lessons. This emphasis on team spirit helped sustain morale through the intense transformation period.</w:t>
      </w:r>
    </w:p>
    <w:p w14:paraId="3251F7A2" w14:textId="77777777" w:rsidR="00EE6A92" w:rsidRPr="00EE6A92" w:rsidRDefault="00EE6A92" w:rsidP="00EE6A92">
      <w:pPr>
        <w:numPr>
          <w:ilvl w:val="0"/>
          <w:numId w:val="14"/>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Mentoring a Collaborative Culture:</w:t>
      </w:r>
      <w:r w:rsidRPr="00EE6A92">
        <w:rPr>
          <w:rFonts w:ascii="Segoe UI" w:hAnsi="Segoe UI" w:cs="Segoe UI"/>
          <w:sz w:val="21"/>
          <w:szCs w:val="21"/>
        </w:rPr>
        <w:t xml:space="preserve"> Beyond his direct interactions, Employee A helped shape TPC’s broader collaborative culture by reinforcing frameworks like the </w:t>
      </w:r>
      <w:r w:rsidRPr="00EE6A92">
        <w:rPr>
          <w:rFonts w:ascii="Segoe UI" w:hAnsi="Segoe UI" w:cs="Segoe UI"/>
          <w:i/>
          <w:iCs/>
          <w:sz w:val="21"/>
          <w:szCs w:val="21"/>
        </w:rPr>
        <w:t>Good Management Model</w:t>
      </w:r>
      <w:r w:rsidRPr="00EE6A92">
        <w:rPr>
          <w:rFonts w:ascii="Segoe UI" w:hAnsi="Segoe UI" w:cs="Segoe UI"/>
          <w:sz w:val="21"/>
          <w:szCs w:val="21"/>
        </w:rPr>
        <w:t xml:space="preserve">. That model’s pillars – Awareness, Alignment, Collaboration, Co-creation – were themes Employee A wove into training programs. In the Quantum Leadership Framing Program he launched, a key takeaway was </w:t>
      </w:r>
      <w:r w:rsidRPr="00EE6A92">
        <w:rPr>
          <w:rFonts w:ascii="Segoe UI" w:hAnsi="Segoe UI" w:cs="Segoe UI"/>
          <w:i/>
          <w:iCs/>
          <w:sz w:val="21"/>
          <w:szCs w:val="21"/>
        </w:rPr>
        <w:t>“Collaboration &amp; mutual understanding”</w:t>
      </w:r>
      <w:r w:rsidRPr="00EE6A92">
        <w:rPr>
          <w:rFonts w:ascii="Segoe UI" w:hAnsi="Segoe UI" w:cs="Segoe UI"/>
          <w:sz w:val="21"/>
          <w:szCs w:val="21"/>
        </w:rPr>
        <w:t xml:space="preserve"> as vital for results</w:t>
      </w:r>
      <w:hyperlink r:id="rId109" w:history="1">
        <w:r w:rsidRPr="00EE6A92">
          <w:rPr>
            <w:rFonts w:ascii="Segoe UI" w:hAnsi="Segoe UI" w:cs="Segoe UI"/>
            <w:color w:val="464FEB"/>
            <w:sz w:val="21"/>
            <w:szCs w:val="21"/>
          </w:rPr>
          <w:t>[8]</w:t>
        </w:r>
      </w:hyperlink>
      <w:r w:rsidRPr="00EE6A92">
        <w:rPr>
          <w:rFonts w:ascii="Segoe UI" w:hAnsi="Segoe UI" w:cs="Segoe UI"/>
          <w:sz w:val="21"/>
          <w:szCs w:val="21"/>
        </w:rPr>
        <w:t xml:space="preserve">. He practiced these principles by having participants work in mixed teams on project assignments, guiding them to navigate differences. By </w:t>
      </w:r>
      <w:proofErr w:type="spellStart"/>
      <w:r w:rsidRPr="00EE6A92">
        <w:rPr>
          <w:rFonts w:ascii="Segoe UI" w:hAnsi="Segoe UI" w:cs="Segoe UI"/>
          <w:sz w:val="21"/>
          <w:szCs w:val="21"/>
        </w:rPr>
        <w:t>modeling</w:t>
      </w:r>
      <w:proofErr w:type="spellEnd"/>
      <w:r w:rsidRPr="00EE6A92">
        <w:rPr>
          <w:rFonts w:ascii="Segoe UI" w:hAnsi="Segoe UI" w:cs="Segoe UI"/>
          <w:sz w:val="21"/>
          <w:szCs w:val="21"/>
        </w:rPr>
        <w:t xml:space="preserve"> collaboration himself and teaching it, Employee A contributed to an organizational mindset shift: silos and lone heroes gave way to teams and partnerships as the default mode of operation. This cultural change is perhaps one of his greatest legacies of 2025 – evidenced by more cross-entity projects and knowledge-sharing sessions happening by year’s end (teams that rarely interacted before were now exchanging ideas regularly, as seen in the flurry of collaborative Yammer posts and cross-functional workshops in late 2025).</w:t>
      </w:r>
    </w:p>
    <w:p w14:paraId="0D95DD44"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Collaboration was the </w:t>
      </w:r>
      <w:r w:rsidRPr="00EE6A92">
        <w:rPr>
          <w:rFonts w:ascii="Segoe UI" w:hAnsi="Segoe UI" w:cs="Segoe UI"/>
          <w:b/>
          <w:bCs/>
          <w:sz w:val="21"/>
          <w:szCs w:val="21"/>
        </w:rPr>
        <w:t>engine of TPC’s transformation</w:t>
      </w:r>
      <w:r w:rsidRPr="00EE6A92">
        <w:rPr>
          <w:rFonts w:ascii="Segoe UI" w:hAnsi="Segoe UI" w:cs="Segoe UI"/>
          <w:sz w:val="21"/>
          <w:szCs w:val="21"/>
        </w:rPr>
        <w:t xml:space="preserve">, and Employee A’s collaborative leadership significantly greased that engine. His ability to bring people together meant complex projects (like implementing the new </w:t>
      </w:r>
      <w:proofErr w:type="spellStart"/>
      <w:r w:rsidRPr="00EE6A92">
        <w:rPr>
          <w:rFonts w:ascii="Segoe UI" w:hAnsi="Segoe UI" w:cs="Segoe UI"/>
          <w:sz w:val="21"/>
          <w:szCs w:val="21"/>
        </w:rPr>
        <w:t>ePCG</w:t>
      </w:r>
      <w:proofErr w:type="spellEnd"/>
      <w:r w:rsidRPr="00EE6A92">
        <w:rPr>
          <w:rFonts w:ascii="Segoe UI" w:hAnsi="Segoe UI" w:cs="Segoe UI"/>
          <w:sz w:val="21"/>
          <w:szCs w:val="21"/>
        </w:rPr>
        <w:t xml:space="preserve"> system or conducting the 360° survey) were executed smoothly with input from all stakeholders, minimizing resistance. By breaking silos, he unlocked synergies – e.g., data sharing allowed AI initiatives to succeed, and multi-function brainstorming led to more innovative solutions (witness how the finance and P\&amp;O teams co-created automation ideas at Employee A’s prompting). The harmony he fostered reduced friction that often derails change efforts; instead of infighting, teams focused on common goals. Moreover, employees saw a leadership example that collaboration is valued over competition, encouraging them to emulate it. All told, Employee A’s collaborative mindset helped TPC transform </w:t>
      </w:r>
      <w:r w:rsidRPr="00EE6A92">
        <w:rPr>
          <w:rFonts w:ascii="Segoe UI" w:hAnsi="Segoe UI" w:cs="Segoe UI"/>
          <w:b/>
          <w:bCs/>
          <w:sz w:val="21"/>
          <w:szCs w:val="21"/>
        </w:rPr>
        <w:t>as one unified organization</w:t>
      </w:r>
      <w:r w:rsidRPr="00EE6A92">
        <w:rPr>
          <w:rFonts w:ascii="Segoe UI" w:hAnsi="Segoe UI" w:cs="Segoe UI"/>
          <w:sz w:val="21"/>
          <w:szCs w:val="21"/>
        </w:rPr>
        <w:t>, rather than a fragmented set of fiefdoms. This unity made the daunting transformation targets (like objective #3 on macro/tech shifts) achievable, because everyone was pulling in the same direction.</w:t>
      </w:r>
    </w:p>
    <w:p w14:paraId="49564442"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0D85678E" w14:textId="77777777" w:rsidR="00EE6A92" w:rsidRPr="00EE6A92" w:rsidRDefault="00EE6A92" w:rsidP="00EE6A92">
      <w:pPr>
        <w:numPr>
          <w:ilvl w:val="0"/>
          <w:numId w:val="15"/>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Employee A convened and liaised with multiple departments to roll out group-wide OKRs, ensuring broad alignment and input.</w:t>
      </w:r>
    </w:p>
    <w:p w14:paraId="51E26251" w14:textId="77777777" w:rsidR="00EE6A92" w:rsidRPr="00EE6A92" w:rsidRDefault="00EE6A92" w:rsidP="00EE6A92">
      <w:pPr>
        <w:numPr>
          <w:ilvl w:val="0"/>
          <w:numId w:val="15"/>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explicitly pushed for dismantling data silos, urging teams to share information and implement common policies</w:t>
      </w:r>
      <w:hyperlink r:id="rId110" w:history="1">
        <w:r w:rsidRPr="00EE6A92">
          <w:rPr>
            <w:rFonts w:ascii="Segoe UI" w:hAnsi="Segoe UI" w:cs="Segoe UI"/>
            <w:color w:val="464FEB"/>
            <w:sz w:val="21"/>
            <w:szCs w:val="21"/>
          </w:rPr>
          <w:t>[2]</w:t>
        </w:r>
      </w:hyperlink>
      <w:r w:rsidRPr="00EE6A92">
        <w:rPr>
          <w:rFonts w:ascii="Segoe UI" w:hAnsi="Segoe UI" w:cs="Segoe UI"/>
          <w:sz w:val="21"/>
          <w:szCs w:val="21"/>
        </w:rPr>
        <w:t>.</w:t>
      </w:r>
    </w:p>
    <w:p w14:paraId="74E28BF3" w14:textId="77777777" w:rsidR="00EE6A92" w:rsidRPr="00EE6A92" w:rsidRDefault="00EE6A92" w:rsidP="00EE6A92">
      <w:pPr>
        <w:numPr>
          <w:ilvl w:val="0"/>
          <w:numId w:val="15"/>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invited senior leadership to jointly address issues (data sharing example) to present a united, collaborative front</w:t>
      </w:r>
      <w:hyperlink r:id="rId111" w:history="1">
        <w:r w:rsidRPr="00EE6A92">
          <w:rPr>
            <w:rFonts w:ascii="Segoe UI" w:hAnsi="Segoe UI" w:cs="Segoe UI"/>
            <w:color w:val="464FEB"/>
            <w:sz w:val="21"/>
            <w:szCs w:val="21"/>
          </w:rPr>
          <w:t>[2]</w:t>
        </w:r>
      </w:hyperlink>
      <w:r w:rsidRPr="00EE6A92">
        <w:rPr>
          <w:rFonts w:ascii="Segoe UI" w:hAnsi="Segoe UI" w:cs="Segoe UI"/>
          <w:sz w:val="21"/>
          <w:szCs w:val="21"/>
        </w:rPr>
        <w:t>.</w:t>
      </w:r>
    </w:p>
    <w:p w14:paraId="321FD0E8" w14:textId="77777777" w:rsidR="00EE6A92" w:rsidRPr="00EE6A92" w:rsidRDefault="00EE6A92" w:rsidP="00EE6A92">
      <w:pPr>
        <w:numPr>
          <w:ilvl w:val="0"/>
          <w:numId w:val="15"/>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In organizing leadership workshops, he coordinated facilitators from different units and emphasized co-creation and teamwork in session design</w:t>
      </w:r>
      <w:hyperlink r:id="rId112" w:history="1">
        <w:r w:rsidRPr="00EE6A92">
          <w:rPr>
            <w:rFonts w:ascii="Segoe UI" w:hAnsi="Segoe UI" w:cs="Segoe UI"/>
            <w:color w:val="464FEB"/>
            <w:sz w:val="21"/>
            <w:szCs w:val="21"/>
          </w:rPr>
          <w:t>[7]</w:t>
        </w:r>
      </w:hyperlink>
      <w:r w:rsidRPr="00EE6A92">
        <w:rPr>
          <w:rFonts w:ascii="Segoe UI" w:hAnsi="Segoe UI" w:cs="Segoe UI"/>
          <w:sz w:val="21"/>
          <w:szCs w:val="21"/>
        </w:rPr>
        <w:t>.</w:t>
      </w:r>
    </w:p>
    <w:p w14:paraId="099E0FDA" w14:textId="77777777" w:rsidR="00EE6A92" w:rsidRPr="00EE6A92" w:rsidRDefault="00EE6A92" w:rsidP="00EE6A92">
      <w:pPr>
        <w:numPr>
          <w:ilvl w:val="0"/>
          <w:numId w:val="15"/>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Meeting notes from Good Management Workshops highlight </w:t>
      </w:r>
      <w:r w:rsidRPr="00EE6A92">
        <w:rPr>
          <w:rFonts w:ascii="Segoe UI" w:hAnsi="Segoe UI" w:cs="Segoe UI"/>
          <w:i/>
          <w:iCs/>
          <w:sz w:val="21"/>
          <w:szCs w:val="21"/>
        </w:rPr>
        <w:t>Collaboration</w:t>
      </w:r>
      <w:r w:rsidRPr="00EE6A92">
        <w:rPr>
          <w:rFonts w:ascii="Segoe UI" w:hAnsi="Segoe UI" w:cs="Segoe UI"/>
          <w:sz w:val="21"/>
          <w:szCs w:val="21"/>
        </w:rPr>
        <w:t xml:space="preserve"> as a key takeaway</w:t>
      </w:r>
      <w:hyperlink r:id="rId113" w:history="1">
        <w:r w:rsidRPr="00EE6A92">
          <w:rPr>
            <w:rFonts w:ascii="Segoe UI" w:hAnsi="Segoe UI" w:cs="Segoe UI"/>
            <w:color w:val="464FEB"/>
            <w:sz w:val="21"/>
            <w:szCs w:val="21"/>
          </w:rPr>
          <w:t>[8]</w:t>
        </w:r>
      </w:hyperlink>
      <w:r w:rsidRPr="00EE6A92">
        <w:rPr>
          <w:rFonts w:ascii="Segoe UI" w:hAnsi="Segoe UI" w:cs="Segoe UI"/>
          <w:sz w:val="21"/>
          <w:szCs w:val="21"/>
        </w:rPr>
        <w:t xml:space="preserve"> – a value Employee A reinforced both in content and in how he led those sessions.</w:t>
      </w:r>
    </w:p>
    <w:p w14:paraId="0FD2E12F" w14:textId="77777777" w:rsidR="00EE6A92" w:rsidRPr="00EE6A92" w:rsidRDefault="00EE6A92" w:rsidP="00EE6A92">
      <w:pPr>
        <w:numPr>
          <w:ilvl w:val="0"/>
          <w:numId w:val="15"/>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Cross-functional projects (e.g., digital workflow automation involving IT, Finance, Admin) saw success under Employee A’s guidance, indicating effective teamwork across traditional boundaries.</w:t>
      </w:r>
    </w:p>
    <w:p w14:paraId="28158A63"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5. Developing &amp; Nurturing Partnerships for Collaboration &amp; Synergy</w:t>
      </w:r>
    </w:p>
    <w:p w14:paraId="5D6AC849"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extended his collaborative ethos beyond immediate teams to </w:t>
      </w:r>
      <w:r w:rsidRPr="00EE6A92">
        <w:rPr>
          <w:rFonts w:ascii="Segoe UI" w:hAnsi="Segoe UI" w:cs="Segoe UI"/>
          <w:b/>
          <w:bCs/>
          <w:sz w:val="21"/>
          <w:szCs w:val="21"/>
        </w:rPr>
        <w:t>strategic partnerships</w:t>
      </w:r>
      <w:r w:rsidRPr="00EE6A92">
        <w:rPr>
          <w:rFonts w:ascii="Segoe UI" w:hAnsi="Segoe UI" w:cs="Segoe UI"/>
          <w:sz w:val="21"/>
          <w:szCs w:val="21"/>
        </w:rPr>
        <w:t>, both within the TPC group and with external entities. He recognized that transformative goals often required pooling strengths through partnerships, and he actively cultivated these relationships for synergy:</w:t>
      </w:r>
    </w:p>
    <w:p w14:paraId="64928DEE" w14:textId="77777777" w:rsidR="00EE6A92" w:rsidRPr="00EE6A92" w:rsidRDefault="00EE6A92" w:rsidP="00EE6A92">
      <w:pPr>
        <w:numPr>
          <w:ilvl w:val="0"/>
          <w:numId w:val="16"/>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Internal Partnerships (Bridging Business Units):</w:t>
      </w:r>
      <w:r w:rsidRPr="00EE6A92">
        <w:rPr>
          <w:rFonts w:ascii="Segoe UI" w:hAnsi="Segoe UI" w:cs="Segoe UI"/>
          <w:sz w:val="21"/>
          <w:szCs w:val="21"/>
        </w:rPr>
        <w:t xml:space="preserve"> Within the diverse TPC group (shipping, investments, Octave, etc.), Employee A acted as a bridge to foster partnerships. In 2025, he worked closely with colleagues in different subsidiaries to integrate Octave’s expertise into their operations. For instance, he partnered with the Shipping and Industrial groups to roll out leadership and culture programs under the </w:t>
      </w:r>
      <w:r w:rsidRPr="00EE6A92">
        <w:rPr>
          <w:rFonts w:ascii="Segoe UI" w:hAnsi="Segoe UI" w:cs="Segoe UI"/>
          <w:i/>
          <w:iCs/>
          <w:sz w:val="21"/>
          <w:szCs w:val="21"/>
        </w:rPr>
        <w:t>Living Innovation Program</w:t>
      </w:r>
      <w:r w:rsidRPr="00EE6A92">
        <w:rPr>
          <w:rFonts w:ascii="Segoe UI" w:hAnsi="Segoe UI" w:cs="Segoe UI"/>
          <w:sz w:val="21"/>
          <w:szCs w:val="21"/>
        </w:rPr>
        <w:t xml:space="preserve"> umbrella, aligning with each division’s needs. Meeting records show Employee A regularly updating on joint projects like </w:t>
      </w:r>
      <w:r w:rsidRPr="00EE6A92">
        <w:rPr>
          <w:rFonts w:ascii="Segoe UI" w:hAnsi="Segoe UI" w:cs="Segoe UI"/>
          <w:i/>
          <w:iCs/>
          <w:sz w:val="21"/>
          <w:szCs w:val="21"/>
        </w:rPr>
        <w:t>“</w:t>
      </w:r>
      <w:proofErr w:type="spellStart"/>
      <w:r w:rsidRPr="00EE6A92">
        <w:rPr>
          <w:rFonts w:ascii="Segoe UI" w:hAnsi="Segoe UI" w:cs="Segoe UI"/>
          <w:i/>
          <w:iCs/>
          <w:sz w:val="21"/>
          <w:szCs w:val="21"/>
        </w:rPr>
        <w:t>eIMC</w:t>
      </w:r>
      <w:proofErr w:type="spellEnd"/>
      <w:r w:rsidRPr="00EE6A92">
        <w:rPr>
          <w:rFonts w:ascii="Segoe UI" w:hAnsi="Segoe UI" w:cs="Segoe UI"/>
          <w:i/>
          <w:iCs/>
          <w:sz w:val="21"/>
          <w:szCs w:val="21"/>
        </w:rPr>
        <w:t xml:space="preserve"> digital initiatives”</w:t>
      </w:r>
      <w:r w:rsidRPr="00EE6A92">
        <w:rPr>
          <w:rFonts w:ascii="Segoe UI" w:hAnsi="Segoe UI" w:cs="Segoe UI"/>
          <w:sz w:val="21"/>
          <w:szCs w:val="21"/>
        </w:rPr>
        <w:t xml:space="preserve"> (electronic IMC) where Octave and IMC’s IT collaborated</w:t>
      </w:r>
      <w:hyperlink r:id="rId114" w:history="1">
        <w:r w:rsidRPr="00EE6A92">
          <w:rPr>
            <w:rFonts w:ascii="Segoe UI" w:hAnsi="Segoe UI" w:cs="Segoe UI"/>
            <w:color w:val="464FEB"/>
            <w:sz w:val="21"/>
            <w:szCs w:val="21"/>
          </w:rPr>
          <w:t>[8]</w:t>
        </w:r>
      </w:hyperlink>
      <w:hyperlink r:id="rId115" w:history="1">
        <w:r w:rsidRPr="00EE6A92">
          <w:rPr>
            <w:rFonts w:ascii="Segoe UI" w:hAnsi="Segoe UI" w:cs="Segoe UI"/>
            <w:color w:val="464FEB"/>
            <w:sz w:val="21"/>
            <w:szCs w:val="21"/>
          </w:rPr>
          <w:t>[8]</w:t>
        </w:r>
      </w:hyperlink>
      <w:r w:rsidRPr="00EE6A92">
        <w:rPr>
          <w:rFonts w:ascii="Segoe UI" w:hAnsi="Segoe UI" w:cs="Segoe UI"/>
          <w:sz w:val="21"/>
          <w:szCs w:val="21"/>
        </w:rPr>
        <w:t xml:space="preserve">. By establishing these internal partnerships, Employee A ensured that transformation efforts (like digital culture change or well-being programs) were not confined to HQ but penetrated each business unit. One concrete outcome: he coordinated with country CEOs (e.g., Attasit in Thailand, Qiu Peng in China) to get their teams involved in corporate OKRs and training – essentially forming a partnership between corporate </w:t>
      </w:r>
      <w:proofErr w:type="spellStart"/>
      <w:r w:rsidRPr="00EE6A92">
        <w:rPr>
          <w:rFonts w:ascii="Segoe UI" w:hAnsi="Segoe UI" w:cs="Segoe UI"/>
          <w:sz w:val="21"/>
          <w:szCs w:val="21"/>
        </w:rPr>
        <w:t>center</w:t>
      </w:r>
      <w:proofErr w:type="spellEnd"/>
      <w:r w:rsidRPr="00EE6A92">
        <w:rPr>
          <w:rFonts w:ascii="Segoe UI" w:hAnsi="Segoe UI" w:cs="Segoe UI"/>
          <w:sz w:val="21"/>
          <w:szCs w:val="21"/>
        </w:rPr>
        <w:t xml:space="preserve"> and country offices for change implementation. This reduced the “us vs. them” gap and created a sense of </w:t>
      </w:r>
      <w:r w:rsidRPr="00EE6A92">
        <w:rPr>
          <w:rFonts w:ascii="Segoe UI" w:hAnsi="Segoe UI" w:cs="Segoe UI"/>
          <w:b/>
          <w:bCs/>
          <w:sz w:val="21"/>
          <w:szCs w:val="21"/>
        </w:rPr>
        <w:t>shared mission</w:t>
      </w:r>
      <w:r w:rsidRPr="00EE6A92">
        <w:rPr>
          <w:rFonts w:ascii="Segoe UI" w:hAnsi="Segoe UI" w:cs="Segoe UI"/>
          <w:sz w:val="21"/>
          <w:szCs w:val="21"/>
        </w:rPr>
        <w:t xml:space="preserve"> across the group.</w:t>
      </w:r>
    </w:p>
    <w:p w14:paraId="655BD580" w14:textId="77777777" w:rsidR="00EE6A92" w:rsidRPr="00EE6A92" w:rsidRDefault="00EE6A92" w:rsidP="00EE6A92">
      <w:pPr>
        <w:numPr>
          <w:ilvl w:val="0"/>
          <w:numId w:val="16"/>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Octave Institute &amp; Business Units Collaboration:</w:t>
      </w:r>
      <w:r w:rsidRPr="00EE6A92">
        <w:rPr>
          <w:rFonts w:ascii="Segoe UI" w:hAnsi="Segoe UI" w:cs="Segoe UI"/>
          <w:sz w:val="21"/>
          <w:szCs w:val="21"/>
        </w:rPr>
        <w:t xml:space="preserve"> As Octave’s deputy director, Employee A’s mandate was to bring Octave’s offerings (coaching, learning, well-being services) into TPC’s businesses. He did this by nurturing collaborative projects. A notable example is the </w:t>
      </w:r>
      <w:r w:rsidRPr="00EE6A92">
        <w:rPr>
          <w:rFonts w:ascii="Segoe UI" w:hAnsi="Segoe UI" w:cs="Segoe UI"/>
          <w:b/>
          <w:bCs/>
          <w:sz w:val="21"/>
          <w:szCs w:val="21"/>
        </w:rPr>
        <w:t>AI Coaching initiative</w:t>
      </w:r>
      <w:r w:rsidRPr="00EE6A92">
        <w:rPr>
          <w:rFonts w:ascii="Segoe UI" w:hAnsi="Segoe UI" w:cs="Segoe UI"/>
          <w:sz w:val="21"/>
          <w:szCs w:val="21"/>
        </w:rPr>
        <w:t>: Employee A and Octave’s tech lead (Fugee) worked with Group HR (Sherin Goh’s team) to develop an AI Coach prototype for employees</w:t>
      </w:r>
      <w:hyperlink r:id="rId116" w:history="1">
        <w:r w:rsidRPr="00EE6A92">
          <w:rPr>
            <w:rFonts w:ascii="Segoe UI" w:hAnsi="Segoe UI" w:cs="Segoe UI"/>
            <w:color w:val="464FEB"/>
            <w:sz w:val="21"/>
            <w:szCs w:val="21"/>
          </w:rPr>
          <w:t>[2]</w:t>
        </w:r>
      </w:hyperlink>
      <w:r w:rsidRPr="00EE6A92">
        <w:rPr>
          <w:rFonts w:ascii="Segoe UI" w:hAnsi="Segoe UI" w:cs="Segoe UI"/>
          <w:sz w:val="21"/>
          <w:szCs w:val="21"/>
        </w:rPr>
        <w:t xml:space="preserve">. Sherin noted one of the key outputs of their partnership was </w:t>
      </w:r>
      <w:r w:rsidRPr="00EE6A92">
        <w:rPr>
          <w:rFonts w:ascii="Segoe UI" w:hAnsi="Segoe UI" w:cs="Segoe UI"/>
          <w:i/>
          <w:iCs/>
          <w:sz w:val="21"/>
          <w:szCs w:val="21"/>
        </w:rPr>
        <w:t>“</w:t>
      </w:r>
      <w:proofErr w:type="spellStart"/>
      <w:r w:rsidRPr="00EE6A92">
        <w:rPr>
          <w:rFonts w:ascii="Segoe UI" w:hAnsi="Segoe UI" w:cs="Segoe UI"/>
          <w:i/>
          <w:iCs/>
          <w:sz w:val="21"/>
          <w:szCs w:val="21"/>
        </w:rPr>
        <w:t>TalentVerse</w:t>
      </w:r>
      <w:proofErr w:type="spellEnd"/>
      <w:r w:rsidRPr="00EE6A92">
        <w:rPr>
          <w:rFonts w:ascii="Segoe UI" w:hAnsi="Segoe UI" w:cs="Segoe UI"/>
          <w:i/>
          <w:iCs/>
          <w:sz w:val="21"/>
          <w:szCs w:val="21"/>
        </w:rPr>
        <w:t>”</w:t>
      </w:r>
      <w:r w:rsidRPr="00EE6A92">
        <w:rPr>
          <w:rFonts w:ascii="Segoe UI" w:hAnsi="Segoe UI" w:cs="Segoe UI"/>
          <w:sz w:val="21"/>
          <w:szCs w:val="21"/>
        </w:rPr>
        <w:t xml:space="preserve"> – a digital platform blending HR data and Octave’s coaching content</w:t>
      </w:r>
      <w:hyperlink r:id="rId117" w:history="1">
        <w:r w:rsidRPr="00EE6A92">
          <w:rPr>
            <w:rFonts w:ascii="Segoe UI" w:hAnsi="Segoe UI" w:cs="Segoe UI"/>
            <w:color w:val="464FEB"/>
            <w:sz w:val="21"/>
            <w:szCs w:val="21"/>
          </w:rPr>
          <w:t>[2]</w:t>
        </w:r>
      </w:hyperlink>
      <w:r w:rsidRPr="00EE6A92">
        <w:rPr>
          <w:rFonts w:ascii="Segoe UI" w:hAnsi="Segoe UI" w:cs="Segoe UI"/>
          <w:sz w:val="21"/>
          <w:szCs w:val="21"/>
        </w:rPr>
        <w:t xml:space="preserve">. This kind of cross-division partnership – Octave providing content and methodology, P\&amp;O providing data and user base – created a product far more powerful than either could alone. Similarly, Employee A struck a partnership with the Finance function when automating processes: he brought in Octave’s digital know-how (like </w:t>
      </w:r>
      <w:proofErr w:type="spellStart"/>
      <w:r w:rsidRPr="00EE6A92">
        <w:rPr>
          <w:rFonts w:ascii="Segoe UI" w:hAnsi="Segoe UI" w:cs="Segoe UI"/>
          <w:sz w:val="21"/>
          <w:szCs w:val="21"/>
        </w:rPr>
        <w:t>Yeeflow</w:t>
      </w:r>
      <w:proofErr w:type="spellEnd"/>
      <w:r w:rsidRPr="00EE6A92">
        <w:rPr>
          <w:rFonts w:ascii="Segoe UI" w:hAnsi="Segoe UI" w:cs="Segoe UI"/>
          <w:sz w:val="21"/>
          <w:szCs w:val="21"/>
        </w:rPr>
        <w:t xml:space="preserve"> design templates) while Finance provided process expertise, resulting in smooth automation of workflows. By developing these internal partnerships, Employee A helped break departmental boundaries and leverage the full spectrum of TPC’s capabilities in transformation projects.</w:t>
      </w:r>
    </w:p>
    <w:p w14:paraId="0F1A7AE0" w14:textId="77777777" w:rsidR="00EE6A92" w:rsidRPr="00EE6A92" w:rsidRDefault="00EE6A92" w:rsidP="00EE6A92">
      <w:pPr>
        <w:numPr>
          <w:ilvl w:val="0"/>
          <w:numId w:val="16"/>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External Collaborations (Academic and Industry):</w:t>
      </w:r>
      <w:r w:rsidRPr="00EE6A92">
        <w:rPr>
          <w:rFonts w:ascii="Segoe UI" w:hAnsi="Segoe UI" w:cs="Segoe UI"/>
          <w:sz w:val="21"/>
          <w:szCs w:val="21"/>
        </w:rPr>
        <w:t xml:space="preserve"> Employee A was a strong believer in learning from and working with </w:t>
      </w:r>
      <w:r w:rsidRPr="00EE6A92">
        <w:rPr>
          <w:rFonts w:ascii="Segoe UI" w:hAnsi="Segoe UI" w:cs="Segoe UI"/>
          <w:b/>
          <w:bCs/>
          <w:sz w:val="21"/>
          <w:szCs w:val="21"/>
        </w:rPr>
        <w:t>external partners</w:t>
      </w:r>
      <w:r w:rsidRPr="00EE6A92">
        <w:rPr>
          <w:rFonts w:ascii="Segoe UI" w:hAnsi="Segoe UI" w:cs="Segoe UI"/>
          <w:sz w:val="21"/>
          <w:szCs w:val="21"/>
        </w:rPr>
        <w:t xml:space="preserve"> to accelerate TPC’s transformation. In 2025, he managed several key external collaborations:</w:t>
      </w:r>
    </w:p>
    <w:p w14:paraId="05E8A205" w14:textId="77777777" w:rsidR="00EE6A92" w:rsidRPr="00EE6A92" w:rsidRDefault="00EE6A92" w:rsidP="00EE6A92">
      <w:pPr>
        <w:numPr>
          <w:ilvl w:val="1"/>
          <w:numId w:val="16"/>
        </w:num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With Academia:</w:t>
      </w:r>
      <w:r w:rsidRPr="00EE6A92">
        <w:rPr>
          <w:rFonts w:ascii="Segoe UI" w:hAnsi="Segoe UI" w:cs="Segoe UI"/>
          <w:sz w:val="21"/>
          <w:szCs w:val="21"/>
        </w:rPr>
        <w:t xml:space="preserve"> Employee A oversaw the partnership with </w:t>
      </w:r>
      <w:r w:rsidRPr="00EE6A92">
        <w:rPr>
          <w:rFonts w:ascii="Segoe UI" w:hAnsi="Segoe UI" w:cs="Segoe UI"/>
          <w:b/>
          <w:bCs/>
          <w:sz w:val="21"/>
          <w:szCs w:val="21"/>
        </w:rPr>
        <w:t>National University of Singapore (NUS) Centre for Governance and Sustainability</w:t>
      </w:r>
      <w:r w:rsidRPr="00EE6A92">
        <w:rPr>
          <w:rFonts w:ascii="Segoe UI" w:hAnsi="Segoe UI" w:cs="Segoe UI"/>
          <w:sz w:val="21"/>
          <w:szCs w:val="21"/>
        </w:rPr>
        <w:t xml:space="preserve"> on the “WEGA” well-being research project. He diligently managed project milestones, as seen when he informed Niap that NUS had delivered the Stage 1 report (including Singapore &amp; China case studies) and requested payment per the MOU</w:t>
      </w:r>
      <w:hyperlink r:id="rId118" w:history="1">
        <w:r w:rsidRPr="00EE6A92">
          <w:rPr>
            <w:rFonts w:ascii="Segoe UI" w:hAnsi="Segoe UI" w:cs="Segoe UI"/>
            <w:color w:val="464FEB"/>
            <w:sz w:val="21"/>
            <w:szCs w:val="21"/>
          </w:rPr>
          <w:t>[9]</w:t>
        </w:r>
      </w:hyperlink>
      <w:r w:rsidRPr="00EE6A92">
        <w:rPr>
          <w:rFonts w:ascii="Segoe UI" w:hAnsi="Segoe UI" w:cs="Segoe UI"/>
          <w:sz w:val="21"/>
          <w:szCs w:val="21"/>
        </w:rPr>
        <w:t xml:space="preserve">. He ensured TPC </w:t>
      </w:r>
      <w:proofErr w:type="spellStart"/>
      <w:r w:rsidRPr="00EE6A92">
        <w:rPr>
          <w:rFonts w:ascii="Segoe UI" w:hAnsi="Segoe UI" w:cs="Segoe UI"/>
          <w:sz w:val="21"/>
          <w:szCs w:val="21"/>
        </w:rPr>
        <w:t>honored</w:t>
      </w:r>
      <w:proofErr w:type="spellEnd"/>
      <w:r w:rsidRPr="00EE6A92">
        <w:rPr>
          <w:rFonts w:ascii="Segoe UI" w:hAnsi="Segoe UI" w:cs="Segoe UI"/>
          <w:sz w:val="21"/>
          <w:szCs w:val="21"/>
        </w:rPr>
        <w:t xml:space="preserve"> its commitments, facilitating trust with NUS. The result was a high-quality well-being framework that TPC could use, co-created with academic rigor. Employee A also cultivated ties with other universities: he negotiated with </w:t>
      </w:r>
      <w:r w:rsidRPr="00EE6A92">
        <w:rPr>
          <w:rFonts w:ascii="Segoe UI" w:hAnsi="Segoe UI" w:cs="Segoe UI"/>
          <w:b/>
          <w:bCs/>
          <w:sz w:val="21"/>
          <w:szCs w:val="21"/>
        </w:rPr>
        <w:t>Singapore Management University (SMU)</w:t>
      </w:r>
      <w:r w:rsidRPr="00EE6A92">
        <w:rPr>
          <w:rFonts w:ascii="Segoe UI" w:hAnsi="Segoe UI" w:cs="Segoe UI"/>
          <w:sz w:val="21"/>
          <w:szCs w:val="21"/>
        </w:rPr>
        <w:t xml:space="preserve"> to run joint Quantum Leadership workshops (even inviting contacts to join these sessions</w:t>
      </w:r>
      <w:hyperlink r:id="rId119" w:history="1">
        <w:r w:rsidRPr="00EE6A92">
          <w:rPr>
            <w:rFonts w:ascii="Segoe UI" w:hAnsi="Segoe UI" w:cs="Segoe UI"/>
            <w:color w:val="464FEB"/>
            <w:sz w:val="21"/>
            <w:szCs w:val="21"/>
          </w:rPr>
          <w:t>[1]</w:t>
        </w:r>
      </w:hyperlink>
      <w:r w:rsidRPr="00EE6A92">
        <w:rPr>
          <w:rFonts w:ascii="Segoe UI" w:hAnsi="Segoe UI" w:cs="Segoe UI"/>
          <w:sz w:val="21"/>
          <w:szCs w:val="21"/>
        </w:rPr>
        <w:t xml:space="preserve">), and prepared a </w:t>
      </w:r>
      <w:r w:rsidRPr="00EE6A92">
        <w:rPr>
          <w:rFonts w:ascii="Segoe UI" w:hAnsi="Segoe UI" w:cs="Segoe UI"/>
          <w:b/>
          <w:bCs/>
          <w:sz w:val="21"/>
          <w:szCs w:val="21"/>
        </w:rPr>
        <w:t>Masters module with Singapore University of Social Sciences (SUSS)</w:t>
      </w:r>
      <w:r w:rsidRPr="00EE6A92">
        <w:rPr>
          <w:rFonts w:ascii="Segoe UI" w:hAnsi="Segoe UI" w:cs="Segoe UI"/>
          <w:sz w:val="21"/>
          <w:szCs w:val="21"/>
        </w:rPr>
        <w:t xml:space="preserve"> based on TPC’s impact investing philosophy</w:t>
      </w:r>
      <w:hyperlink r:id="rId120" w:history="1">
        <w:r w:rsidRPr="00EE6A92">
          <w:rPr>
            <w:rFonts w:ascii="Segoe UI" w:hAnsi="Segoe UI" w:cs="Segoe UI"/>
            <w:color w:val="464FEB"/>
            <w:sz w:val="21"/>
            <w:szCs w:val="21"/>
          </w:rPr>
          <w:t>[1]</w:t>
        </w:r>
      </w:hyperlink>
      <w:r w:rsidRPr="00EE6A92">
        <w:rPr>
          <w:rFonts w:ascii="Segoe UI" w:hAnsi="Segoe UI" w:cs="Segoe UI"/>
          <w:sz w:val="21"/>
          <w:szCs w:val="21"/>
        </w:rPr>
        <w:t>. These partnerships amplified TPC’s thought leadership presence and infused new ideas into its transformation (e.g., academic research supporting the well-being mandate).</w:t>
      </w:r>
    </w:p>
    <w:p w14:paraId="489C4799" w14:textId="77777777" w:rsidR="00EE6A92" w:rsidRPr="00EE6A92" w:rsidRDefault="00EE6A92" w:rsidP="00EE6A92">
      <w:pPr>
        <w:numPr>
          <w:ilvl w:val="1"/>
          <w:numId w:val="16"/>
        </w:num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With Technology and Service Providers:</w:t>
      </w:r>
      <w:r w:rsidRPr="00EE6A92">
        <w:rPr>
          <w:rFonts w:ascii="Segoe UI" w:hAnsi="Segoe UI" w:cs="Segoe UI"/>
          <w:sz w:val="21"/>
          <w:szCs w:val="21"/>
        </w:rPr>
        <w:t xml:space="preserve"> To implement advanced solutions, Employee A liaised with external experts. One example is his connection with an AI start-up (from context, possibly Harel’s </w:t>
      </w:r>
      <w:proofErr w:type="spellStart"/>
      <w:r w:rsidRPr="00EE6A92">
        <w:rPr>
          <w:rFonts w:ascii="Segoe UI" w:hAnsi="Segoe UI" w:cs="Segoe UI"/>
          <w:sz w:val="21"/>
          <w:szCs w:val="21"/>
        </w:rPr>
        <w:t>Petual</w:t>
      </w:r>
      <w:proofErr w:type="spellEnd"/>
      <w:r w:rsidRPr="00EE6A92">
        <w:rPr>
          <w:rFonts w:ascii="Segoe UI" w:hAnsi="Segoe UI" w:cs="Segoe UI"/>
          <w:sz w:val="21"/>
          <w:szCs w:val="21"/>
        </w:rPr>
        <w:t xml:space="preserve"> AI) to explore AI tools for management insights</w:t>
      </w:r>
      <w:hyperlink r:id="rId121" w:history="1">
        <w:r w:rsidRPr="00EE6A92">
          <w:rPr>
            <w:rFonts w:ascii="Segoe UI" w:hAnsi="Segoe UI" w:cs="Segoe UI"/>
            <w:color w:val="464FEB"/>
            <w:sz w:val="21"/>
            <w:szCs w:val="21"/>
          </w:rPr>
          <w:t>[10]</w:t>
        </w:r>
      </w:hyperlink>
      <w:r w:rsidRPr="00EE6A92">
        <w:rPr>
          <w:rFonts w:ascii="Segoe UI" w:hAnsi="Segoe UI" w:cs="Segoe UI"/>
          <w:sz w:val="21"/>
          <w:szCs w:val="21"/>
        </w:rPr>
        <w:t xml:space="preserve">. Niap looped Employee A in such discussions, and he engaged to evaluate and potentially integrate those solutions. Another example is his engaging of </w:t>
      </w:r>
      <w:r w:rsidRPr="00EE6A92">
        <w:rPr>
          <w:rFonts w:ascii="Segoe UI" w:hAnsi="Segoe UI" w:cs="Segoe UI"/>
          <w:b/>
          <w:bCs/>
          <w:sz w:val="21"/>
          <w:szCs w:val="21"/>
        </w:rPr>
        <w:t>external coaches and consultants</w:t>
      </w:r>
      <w:r w:rsidRPr="00EE6A92">
        <w:rPr>
          <w:rFonts w:ascii="Segoe UI" w:hAnsi="Segoe UI" w:cs="Segoe UI"/>
          <w:sz w:val="21"/>
          <w:szCs w:val="21"/>
        </w:rPr>
        <w:t>: for the Mindful Emotion Program retreat, he brought in Richard (a UK facilitator) not only to run the retreat but also to do a “Mindful Male Leadership” session in Singapore while in town</w:t>
      </w:r>
      <w:hyperlink r:id="rId122" w:history="1">
        <w:r w:rsidRPr="00EE6A92">
          <w:rPr>
            <w:rFonts w:ascii="Segoe UI" w:hAnsi="Segoe UI" w:cs="Segoe UI"/>
            <w:color w:val="464FEB"/>
            <w:sz w:val="21"/>
            <w:szCs w:val="21"/>
          </w:rPr>
          <w:t>[11]</w:t>
        </w:r>
      </w:hyperlink>
      <w:r w:rsidRPr="00EE6A92">
        <w:rPr>
          <w:rFonts w:ascii="Segoe UI" w:hAnsi="Segoe UI" w:cs="Segoe UI"/>
          <w:sz w:val="21"/>
          <w:szCs w:val="21"/>
        </w:rPr>
        <w:t>. Employee A’s ability to find mutual benefit – e.g., using one visit for two programs – exemplifies synergy creation. Through these external partnerships, TPC accelerated its transformation (getting outside technology, global best practices, etc.) without reinventing the wheel internally.</w:t>
      </w:r>
    </w:p>
    <w:p w14:paraId="2E7391C0" w14:textId="77777777" w:rsidR="00EE6A92" w:rsidRPr="00EE6A92" w:rsidRDefault="00EE6A92" w:rsidP="00EE6A92">
      <w:pPr>
        <w:numPr>
          <w:ilvl w:val="0"/>
          <w:numId w:val="16"/>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Networking and Representing TPC:</w:t>
      </w:r>
      <w:r w:rsidRPr="00EE6A92">
        <w:rPr>
          <w:rFonts w:ascii="Segoe UI" w:hAnsi="Segoe UI" w:cs="Segoe UI"/>
          <w:sz w:val="21"/>
          <w:szCs w:val="21"/>
        </w:rPr>
        <w:t xml:space="preserve"> Employee A also </w:t>
      </w:r>
      <w:r w:rsidRPr="00EE6A92">
        <w:rPr>
          <w:rFonts w:ascii="Segoe UI" w:hAnsi="Segoe UI" w:cs="Segoe UI"/>
          <w:b/>
          <w:bCs/>
          <w:sz w:val="21"/>
          <w:szCs w:val="21"/>
        </w:rPr>
        <w:t>nurtured personal networks</w:t>
      </w:r>
      <w:r w:rsidRPr="00EE6A92">
        <w:rPr>
          <w:rFonts w:ascii="Segoe UI" w:hAnsi="Segoe UI" w:cs="Segoe UI"/>
          <w:sz w:val="21"/>
          <w:szCs w:val="21"/>
        </w:rPr>
        <w:t xml:space="preserve"> that indirectly benefitted TPC. The email correspondence with Bryan (TPC’s partner) and Brian (an external consultant) about alignment of programs</w:t>
      </w:r>
      <w:hyperlink r:id="rId123" w:history="1">
        <w:r w:rsidRPr="00EE6A92">
          <w:rPr>
            <w:rFonts w:ascii="Segoe UI" w:hAnsi="Segoe UI" w:cs="Segoe UI"/>
            <w:color w:val="464FEB"/>
            <w:sz w:val="21"/>
            <w:szCs w:val="21"/>
          </w:rPr>
          <w:t>[1]</w:t>
        </w:r>
      </w:hyperlink>
      <w:hyperlink r:id="rId124" w:history="1">
        <w:r w:rsidRPr="00EE6A92">
          <w:rPr>
            <w:rFonts w:ascii="Segoe UI" w:hAnsi="Segoe UI" w:cs="Segoe UI"/>
            <w:color w:val="464FEB"/>
            <w:sz w:val="21"/>
            <w:szCs w:val="21"/>
          </w:rPr>
          <w:t>[1]</w:t>
        </w:r>
      </w:hyperlink>
      <w:r w:rsidRPr="00EE6A92">
        <w:rPr>
          <w:rFonts w:ascii="Segoe UI" w:hAnsi="Segoe UI" w:cs="Segoe UI"/>
          <w:sz w:val="21"/>
          <w:szCs w:val="21"/>
        </w:rPr>
        <w:t xml:space="preserve"> shows Employee A in the role of a weaver of networks – connecting an external program with TPC’s, looking for collaboration opportunities. He often followed up introductions promptly. For instance, when Niap introduced him to William Koo (an external contact), Employee A replied the same day expressing eagerness to “catch up to see how we can work together” and mentioning a new module TPC is launching</w:t>
      </w:r>
      <w:hyperlink r:id="rId125" w:history="1">
        <w:r w:rsidRPr="00EE6A92">
          <w:rPr>
            <w:rFonts w:ascii="Segoe UI" w:hAnsi="Segoe UI" w:cs="Segoe UI"/>
            <w:color w:val="464FEB"/>
            <w:sz w:val="21"/>
            <w:szCs w:val="21"/>
          </w:rPr>
          <w:t>[12]</w:t>
        </w:r>
      </w:hyperlink>
      <w:r w:rsidRPr="00EE6A92">
        <w:rPr>
          <w:rFonts w:ascii="Segoe UI" w:hAnsi="Segoe UI" w:cs="Segoe UI"/>
          <w:sz w:val="21"/>
          <w:szCs w:val="21"/>
        </w:rPr>
        <w:t>. By being responsive and open, he leaves partners with a positive impression and willingness to collaborate. These micro-level networking efforts have macro impacts: they seeded partnerships that might turn into future joint ventures, client relationships for Octave, or innovative pilot projects that propel TPC forward.</w:t>
      </w:r>
    </w:p>
    <w:p w14:paraId="22AB2C12"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The partnerships Employee A built and nurtured greatly </w:t>
      </w:r>
      <w:r w:rsidRPr="00EE6A92">
        <w:rPr>
          <w:rFonts w:ascii="Segoe UI" w:hAnsi="Segoe UI" w:cs="Segoe UI"/>
          <w:b/>
          <w:bCs/>
          <w:sz w:val="21"/>
          <w:szCs w:val="21"/>
        </w:rPr>
        <w:t>expanded TPC’s capacity for change</w:t>
      </w:r>
      <w:r w:rsidRPr="00EE6A92">
        <w:rPr>
          <w:rFonts w:ascii="Segoe UI" w:hAnsi="Segoe UI" w:cs="Segoe UI"/>
          <w:sz w:val="21"/>
          <w:szCs w:val="21"/>
        </w:rPr>
        <w:t xml:space="preserve"> in 2025. Internal partnerships meant different parts of the company weren’t duplicating effort or working at cross purposes; instead, they created integrated solutions (like AI coaching, digital workflows) that advanced the transformation objectively and holistically. External partnerships infused fresh knowledge and resources – the NUS collaboration, for example, gave TPC a scholarly foundation for its well-being strategy (enhancing credibility and depth)</w:t>
      </w:r>
      <w:hyperlink r:id="rId126" w:history="1">
        <w:r w:rsidRPr="00EE6A92">
          <w:rPr>
            <w:rFonts w:ascii="Segoe UI" w:hAnsi="Segoe UI" w:cs="Segoe UI"/>
            <w:color w:val="464FEB"/>
            <w:sz w:val="21"/>
            <w:szCs w:val="21"/>
          </w:rPr>
          <w:t>[9]</w:t>
        </w:r>
      </w:hyperlink>
      <w:r w:rsidRPr="00EE6A92">
        <w:rPr>
          <w:rFonts w:ascii="Segoe UI" w:hAnsi="Segoe UI" w:cs="Segoe UI"/>
          <w:sz w:val="21"/>
          <w:szCs w:val="21"/>
        </w:rPr>
        <w:t xml:space="preserve">. Meanwhile, partnering with tech providers allowed faster adoption of new tools (AI, digital platforms), keeping TPC at the cutting edge. Additionally, these partnerships often had a synergistic effect: they reinforced the </w:t>
      </w:r>
      <w:r w:rsidRPr="00EE6A92">
        <w:rPr>
          <w:rFonts w:ascii="Segoe UI" w:hAnsi="Segoe UI" w:cs="Segoe UI"/>
          <w:b/>
          <w:bCs/>
          <w:sz w:val="21"/>
          <w:szCs w:val="21"/>
        </w:rPr>
        <w:t>impact and sustainability pillars</w:t>
      </w:r>
      <w:r w:rsidRPr="00EE6A92">
        <w:rPr>
          <w:rFonts w:ascii="Segoe UI" w:hAnsi="Segoe UI" w:cs="Segoe UI"/>
          <w:sz w:val="21"/>
          <w:szCs w:val="21"/>
        </w:rPr>
        <w:t xml:space="preserve"> of TPC’s strategy. By working with universities and social organizations, Employee A helped frame TPC not just as a single business, but as a </w:t>
      </w:r>
      <w:r w:rsidRPr="00EE6A92">
        <w:rPr>
          <w:rFonts w:ascii="Segoe UI" w:hAnsi="Segoe UI" w:cs="Segoe UI"/>
          <w:i/>
          <w:iCs/>
          <w:sz w:val="21"/>
          <w:szCs w:val="21"/>
        </w:rPr>
        <w:t>“partner in a larger ecosystem”</w:t>
      </w:r>
      <w:r w:rsidRPr="00EE6A92">
        <w:rPr>
          <w:rFonts w:ascii="Segoe UI" w:hAnsi="Segoe UI" w:cs="Segoe UI"/>
          <w:sz w:val="21"/>
          <w:szCs w:val="21"/>
        </w:rPr>
        <w:t>. This ecosystem approach is exactly how a family business like TPC can punch above its weight – through alliances and collaborative ventures. Overall, Employee A’s partnership-building significantly furthered the transformation objective of leveraging macro trends: he linked TPC with external trends in education, technology, and sustainability via partnerships, thereby amplifying the company’s transformational reach and impact.</w:t>
      </w:r>
    </w:p>
    <w:p w14:paraId="1BC686A8"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2A28A5E3" w14:textId="77777777" w:rsidR="00EE6A92" w:rsidRPr="00EE6A92" w:rsidRDefault="00EE6A92" w:rsidP="00EE6A92">
      <w:pPr>
        <w:numPr>
          <w:ilvl w:val="0"/>
          <w:numId w:val="17"/>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Managed the </w:t>
      </w:r>
      <w:r w:rsidRPr="00EE6A92">
        <w:rPr>
          <w:rFonts w:ascii="Segoe UI" w:hAnsi="Segoe UI" w:cs="Segoe UI"/>
          <w:b/>
          <w:bCs/>
          <w:sz w:val="21"/>
          <w:szCs w:val="21"/>
        </w:rPr>
        <w:t>NUS CGS partnership</w:t>
      </w:r>
      <w:r w:rsidRPr="00EE6A92">
        <w:rPr>
          <w:rFonts w:ascii="Segoe UI" w:hAnsi="Segoe UI" w:cs="Segoe UI"/>
          <w:sz w:val="21"/>
          <w:szCs w:val="21"/>
        </w:rPr>
        <w:t xml:space="preserve"> for the WEGA well-being research, coordinating deliverables and payments per MOU</w:t>
      </w:r>
      <w:hyperlink r:id="rId127" w:history="1">
        <w:r w:rsidRPr="00EE6A92">
          <w:rPr>
            <w:rFonts w:ascii="Segoe UI" w:hAnsi="Segoe UI" w:cs="Segoe UI"/>
            <w:color w:val="464FEB"/>
            <w:sz w:val="21"/>
            <w:szCs w:val="21"/>
          </w:rPr>
          <w:t>[9]</w:t>
        </w:r>
      </w:hyperlink>
      <w:r w:rsidRPr="00EE6A92">
        <w:rPr>
          <w:rFonts w:ascii="Segoe UI" w:hAnsi="Segoe UI" w:cs="Segoe UI"/>
          <w:sz w:val="21"/>
          <w:szCs w:val="21"/>
        </w:rPr>
        <w:t>.</w:t>
      </w:r>
    </w:p>
    <w:p w14:paraId="7470BA8C" w14:textId="77777777" w:rsidR="00EE6A92" w:rsidRPr="00EE6A92" w:rsidRDefault="00EE6A92" w:rsidP="00EE6A92">
      <w:pPr>
        <w:numPr>
          <w:ilvl w:val="0"/>
          <w:numId w:val="17"/>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Developed joint programs with </w:t>
      </w:r>
      <w:r w:rsidRPr="00EE6A92">
        <w:rPr>
          <w:rFonts w:ascii="Segoe UI" w:hAnsi="Segoe UI" w:cs="Segoe UI"/>
          <w:b/>
          <w:bCs/>
          <w:sz w:val="21"/>
          <w:szCs w:val="21"/>
        </w:rPr>
        <w:t>SMU and SUSS</w:t>
      </w:r>
      <w:r w:rsidRPr="00EE6A92">
        <w:rPr>
          <w:rFonts w:ascii="Segoe UI" w:hAnsi="Segoe UI" w:cs="Segoe UI"/>
          <w:sz w:val="21"/>
          <w:szCs w:val="21"/>
        </w:rPr>
        <w:t xml:space="preserve"> (e.g., inviting contacts to SMU workshops; designing SUSS module) to integrate academic insights with TPC’s leadership development</w:t>
      </w:r>
      <w:hyperlink r:id="rId128" w:history="1">
        <w:r w:rsidRPr="00EE6A92">
          <w:rPr>
            <w:rFonts w:ascii="Segoe UI" w:hAnsi="Segoe UI" w:cs="Segoe UI"/>
            <w:color w:val="464FEB"/>
            <w:sz w:val="21"/>
            <w:szCs w:val="21"/>
          </w:rPr>
          <w:t>[1]</w:t>
        </w:r>
      </w:hyperlink>
      <w:r w:rsidRPr="00EE6A92">
        <w:rPr>
          <w:rFonts w:ascii="Segoe UI" w:hAnsi="Segoe UI" w:cs="Segoe UI"/>
          <w:sz w:val="21"/>
          <w:szCs w:val="21"/>
        </w:rPr>
        <w:t>.</w:t>
      </w:r>
    </w:p>
    <w:p w14:paraId="23B178D5" w14:textId="77777777" w:rsidR="00EE6A92" w:rsidRPr="00EE6A92" w:rsidRDefault="00EE6A92" w:rsidP="00EE6A92">
      <w:pPr>
        <w:numPr>
          <w:ilvl w:val="0"/>
          <w:numId w:val="17"/>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Collaborated with Group HR to produce the </w:t>
      </w:r>
      <w:proofErr w:type="spellStart"/>
      <w:r w:rsidRPr="00EE6A92">
        <w:rPr>
          <w:rFonts w:ascii="Segoe UI" w:hAnsi="Segoe UI" w:cs="Segoe UI"/>
          <w:b/>
          <w:bCs/>
          <w:sz w:val="21"/>
          <w:szCs w:val="21"/>
        </w:rPr>
        <w:t>TalentVerse</w:t>
      </w:r>
      <w:proofErr w:type="spellEnd"/>
      <w:r w:rsidRPr="00EE6A92">
        <w:rPr>
          <w:rFonts w:ascii="Segoe UI" w:hAnsi="Segoe UI" w:cs="Segoe UI"/>
          <w:b/>
          <w:bCs/>
          <w:sz w:val="21"/>
          <w:szCs w:val="21"/>
        </w:rPr>
        <w:t xml:space="preserve"> AI coaching platform</w:t>
      </w:r>
      <w:r w:rsidRPr="00EE6A92">
        <w:rPr>
          <w:rFonts w:ascii="Segoe UI" w:hAnsi="Segoe UI" w:cs="Segoe UI"/>
          <w:sz w:val="21"/>
          <w:szCs w:val="21"/>
        </w:rPr>
        <w:t>, combining Octave and P\&amp;O expertise</w:t>
      </w:r>
      <w:hyperlink r:id="rId129" w:history="1">
        <w:r w:rsidRPr="00EE6A92">
          <w:rPr>
            <w:rFonts w:ascii="Segoe UI" w:hAnsi="Segoe UI" w:cs="Segoe UI"/>
            <w:color w:val="464FEB"/>
            <w:sz w:val="21"/>
            <w:szCs w:val="21"/>
          </w:rPr>
          <w:t>[2]</w:t>
        </w:r>
      </w:hyperlink>
      <w:r w:rsidRPr="00EE6A92">
        <w:rPr>
          <w:rFonts w:ascii="Segoe UI" w:hAnsi="Segoe UI" w:cs="Segoe UI"/>
          <w:sz w:val="21"/>
          <w:szCs w:val="21"/>
        </w:rPr>
        <w:t>.</w:t>
      </w:r>
    </w:p>
    <w:p w14:paraId="6A75537A" w14:textId="77777777" w:rsidR="00EE6A92" w:rsidRPr="00EE6A92" w:rsidRDefault="00EE6A92" w:rsidP="00EE6A92">
      <w:pPr>
        <w:numPr>
          <w:ilvl w:val="0"/>
          <w:numId w:val="17"/>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Partnered Octave’s digital team with Finance to automate processes (24 workflows) using </w:t>
      </w:r>
      <w:proofErr w:type="spellStart"/>
      <w:r w:rsidRPr="00EE6A92">
        <w:rPr>
          <w:rFonts w:ascii="Segoe UI" w:hAnsi="Segoe UI" w:cs="Segoe UI"/>
          <w:sz w:val="21"/>
          <w:szCs w:val="21"/>
        </w:rPr>
        <w:t>Yeeflow</w:t>
      </w:r>
      <w:proofErr w:type="spellEnd"/>
      <w:r w:rsidRPr="00EE6A92">
        <w:rPr>
          <w:rFonts w:ascii="Segoe UI" w:hAnsi="Segoe UI" w:cs="Segoe UI"/>
          <w:sz w:val="21"/>
          <w:szCs w:val="21"/>
        </w:rPr>
        <w:t>, indicating synergy between departments.</w:t>
      </w:r>
    </w:p>
    <w:p w14:paraId="32104FD4" w14:textId="77777777" w:rsidR="00EE6A92" w:rsidRPr="00EE6A92" w:rsidRDefault="00EE6A92" w:rsidP="00EE6A92">
      <w:pPr>
        <w:numPr>
          <w:ilvl w:val="0"/>
          <w:numId w:val="17"/>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Engaged external experts (e.g., facilitators like Richard for MEP</w:t>
      </w:r>
      <w:hyperlink r:id="rId130" w:history="1">
        <w:r w:rsidRPr="00EE6A92">
          <w:rPr>
            <w:rFonts w:ascii="Segoe UI" w:hAnsi="Segoe UI" w:cs="Segoe UI"/>
            <w:color w:val="464FEB"/>
            <w:sz w:val="21"/>
            <w:szCs w:val="21"/>
          </w:rPr>
          <w:t>[11]</w:t>
        </w:r>
      </w:hyperlink>
      <w:r w:rsidRPr="00EE6A92">
        <w:rPr>
          <w:rFonts w:ascii="Segoe UI" w:hAnsi="Segoe UI" w:cs="Segoe UI"/>
          <w:sz w:val="21"/>
          <w:szCs w:val="21"/>
        </w:rPr>
        <w:t>, AI vendors like Petual.ai via Harel</w:t>
      </w:r>
      <w:hyperlink r:id="rId131" w:history="1">
        <w:r w:rsidRPr="00EE6A92">
          <w:rPr>
            <w:rFonts w:ascii="Segoe UI" w:hAnsi="Segoe UI" w:cs="Segoe UI"/>
            <w:color w:val="464FEB"/>
            <w:sz w:val="21"/>
            <w:szCs w:val="21"/>
          </w:rPr>
          <w:t>[10]</w:t>
        </w:r>
      </w:hyperlink>
      <w:r w:rsidRPr="00EE6A92">
        <w:rPr>
          <w:rFonts w:ascii="Segoe UI" w:hAnsi="Segoe UI" w:cs="Segoe UI"/>
          <w:sz w:val="21"/>
          <w:szCs w:val="21"/>
        </w:rPr>
        <w:t>) to bring new capabilities to TPC.</w:t>
      </w:r>
    </w:p>
    <w:p w14:paraId="36D3500F" w14:textId="77777777" w:rsidR="00EE6A92" w:rsidRPr="00EE6A92" w:rsidRDefault="00EE6A92" w:rsidP="00EE6A92">
      <w:pPr>
        <w:numPr>
          <w:ilvl w:val="0"/>
          <w:numId w:val="17"/>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Quickly followed up on introductions (e.g., with William Koo) expressing interest in collaboration</w:t>
      </w:r>
      <w:hyperlink r:id="rId132" w:history="1">
        <w:r w:rsidRPr="00EE6A92">
          <w:rPr>
            <w:rFonts w:ascii="Segoe UI" w:hAnsi="Segoe UI" w:cs="Segoe UI"/>
            <w:color w:val="464FEB"/>
            <w:sz w:val="21"/>
            <w:szCs w:val="21"/>
          </w:rPr>
          <w:t>[12]</w:t>
        </w:r>
      </w:hyperlink>
      <w:r w:rsidRPr="00EE6A92">
        <w:rPr>
          <w:rFonts w:ascii="Segoe UI" w:hAnsi="Segoe UI" w:cs="Segoe UI"/>
          <w:sz w:val="21"/>
          <w:szCs w:val="21"/>
        </w:rPr>
        <w:t>, illustrating proactive networking to spark partnerships.</w:t>
      </w:r>
    </w:p>
    <w:p w14:paraId="63B31355"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6. Managing Conflicts Openly &amp; Transparently</w:t>
      </w:r>
    </w:p>
    <w:p w14:paraId="67F99372"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Transformation often brings </w:t>
      </w:r>
      <w:r w:rsidRPr="00EE6A92">
        <w:rPr>
          <w:rFonts w:ascii="Segoe UI" w:hAnsi="Segoe UI" w:cs="Segoe UI"/>
          <w:b/>
          <w:bCs/>
          <w:sz w:val="21"/>
          <w:szCs w:val="21"/>
        </w:rPr>
        <w:t>conflicts</w:t>
      </w:r>
      <w:r w:rsidRPr="00EE6A92">
        <w:rPr>
          <w:rFonts w:ascii="Segoe UI" w:hAnsi="Segoe UI" w:cs="Segoe UI"/>
          <w:sz w:val="21"/>
          <w:szCs w:val="21"/>
        </w:rPr>
        <w:t xml:space="preserve"> – differing opinions, turf battles, or friction over new processes. Employee A confronted such conflicts </w:t>
      </w:r>
      <w:r w:rsidRPr="00EE6A92">
        <w:rPr>
          <w:rFonts w:ascii="Segoe UI" w:hAnsi="Segoe UI" w:cs="Segoe UI"/>
          <w:b/>
          <w:bCs/>
          <w:sz w:val="21"/>
          <w:szCs w:val="21"/>
        </w:rPr>
        <w:t>head-on and with transparency</w:t>
      </w:r>
      <w:r w:rsidRPr="00EE6A92">
        <w:rPr>
          <w:rFonts w:ascii="Segoe UI" w:hAnsi="Segoe UI" w:cs="Segoe UI"/>
          <w:sz w:val="21"/>
          <w:szCs w:val="21"/>
        </w:rPr>
        <w:t>, facilitating solutions that all parties could accept:</w:t>
      </w:r>
    </w:p>
    <w:p w14:paraId="6C9A6802" w14:textId="77777777" w:rsidR="00EE6A92" w:rsidRPr="00EE6A92" w:rsidRDefault="00EE6A92" w:rsidP="00EE6A92">
      <w:pPr>
        <w:numPr>
          <w:ilvl w:val="0"/>
          <w:numId w:val="1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Calling Out Issues Candidly:</w:t>
      </w:r>
      <w:r w:rsidRPr="00EE6A92">
        <w:rPr>
          <w:rFonts w:ascii="Segoe UI" w:hAnsi="Segoe UI" w:cs="Segoe UI"/>
          <w:sz w:val="21"/>
          <w:szCs w:val="21"/>
        </w:rPr>
        <w:t xml:space="preserve"> Employee A didn’t sweep conflicts under the rug; he voiced them in the right forums so they could be addressed. The clearest example is the </w:t>
      </w:r>
      <w:r w:rsidRPr="00EE6A92">
        <w:rPr>
          <w:rFonts w:ascii="Segoe UI" w:hAnsi="Segoe UI" w:cs="Segoe UI"/>
          <w:b/>
          <w:bCs/>
          <w:sz w:val="21"/>
          <w:szCs w:val="21"/>
        </w:rPr>
        <w:t>data-sharing conflict</w:t>
      </w:r>
      <w:r w:rsidRPr="00EE6A92">
        <w:rPr>
          <w:rFonts w:ascii="Segoe UI" w:hAnsi="Segoe UI" w:cs="Segoe UI"/>
          <w:sz w:val="21"/>
          <w:szCs w:val="21"/>
        </w:rPr>
        <w:t xml:space="preserve"> mentioned earlier. Rather than quietly work around uncooperative units, Employee A openly stated in a leadership chat that some units were hoarding data and that this needed to change for the AI system to work</w:t>
      </w:r>
      <w:hyperlink r:id="rId133" w:history="1">
        <w:r w:rsidRPr="00EE6A92">
          <w:rPr>
            <w:rFonts w:ascii="Segoe UI" w:hAnsi="Segoe UI" w:cs="Segoe UI"/>
            <w:color w:val="464FEB"/>
            <w:sz w:val="21"/>
            <w:szCs w:val="21"/>
          </w:rPr>
          <w:t>[2]</w:t>
        </w:r>
      </w:hyperlink>
      <w:r w:rsidRPr="00EE6A92">
        <w:rPr>
          <w:rFonts w:ascii="Segoe UI" w:hAnsi="Segoe UI" w:cs="Segoe UI"/>
          <w:sz w:val="21"/>
          <w:szCs w:val="21"/>
        </w:rPr>
        <w:t xml:space="preserve">. </w:t>
      </w:r>
      <w:r w:rsidRPr="00EE6A92">
        <w:rPr>
          <w:rFonts w:ascii="Segoe UI" w:hAnsi="Segoe UI" w:cs="Segoe UI"/>
          <w:i/>
          <w:iCs/>
          <w:sz w:val="21"/>
          <w:szCs w:val="21"/>
        </w:rPr>
        <w:t>“Everyone needs to know they hold data and this data needs to be shared…we need data policies…,”</w:t>
      </w:r>
      <w:r w:rsidRPr="00EE6A92">
        <w:rPr>
          <w:rFonts w:ascii="Segoe UI" w:hAnsi="Segoe UI" w:cs="Segoe UI"/>
          <w:sz w:val="21"/>
          <w:szCs w:val="21"/>
        </w:rPr>
        <w:t xml:space="preserve"> he declared, directly surfacing the issue</w:t>
      </w:r>
      <w:hyperlink r:id="rId134" w:history="1">
        <w:r w:rsidRPr="00EE6A92">
          <w:rPr>
            <w:rFonts w:ascii="Segoe UI" w:hAnsi="Segoe UI" w:cs="Segoe UI"/>
            <w:color w:val="464FEB"/>
            <w:sz w:val="21"/>
            <w:szCs w:val="21"/>
          </w:rPr>
          <w:t>[2]</w:t>
        </w:r>
      </w:hyperlink>
      <w:r w:rsidRPr="00EE6A92">
        <w:rPr>
          <w:rFonts w:ascii="Segoe UI" w:hAnsi="Segoe UI" w:cs="Segoe UI"/>
          <w:sz w:val="21"/>
          <w:szCs w:val="21"/>
        </w:rPr>
        <w:t xml:space="preserve">. By putting it on the table, he enabled a constructive discussion (Niap immediately agreed and added that this could </w:t>
      </w:r>
      <w:r w:rsidRPr="00EE6A92">
        <w:rPr>
          <w:rFonts w:ascii="Segoe UI" w:hAnsi="Segoe UI" w:cs="Segoe UI"/>
          <w:i/>
          <w:iCs/>
          <w:sz w:val="21"/>
          <w:szCs w:val="21"/>
        </w:rPr>
        <w:t>“break down the territorial hold over data”</w:t>
      </w:r>
      <w:hyperlink r:id="rId135" w:history="1">
        <w:r w:rsidRPr="00EE6A92">
          <w:rPr>
            <w:rFonts w:ascii="Segoe UI" w:hAnsi="Segoe UI" w:cs="Segoe UI"/>
            <w:color w:val="464FEB"/>
            <w:sz w:val="21"/>
            <w:szCs w:val="21"/>
          </w:rPr>
          <w:t>[2]</w:t>
        </w:r>
      </w:hyperlink>
      <w:r w:rsidRPr="00EE6A92">
        <w:rPr>
          <w:rFonts w:ascii="Segoe UI" w:hAnsi="Segoe UI" w:cs="Segoe UI"/>
          <w:sz w:val="21"/>
          <w:szCs w:val="21"/>
        </w:rPr>
        <w:t xml:space="preserve">). Employee A’s transparent approach meant that sensitive topics – whether data, resources, or role clarity – were discussed out in the open, preventing resentment from festering. He was known to use facts and figures to ground conflict discussions (for data sharing, he cited Alibaba’s example that </w:t>
      </w:r>
      <w:r w:rsidRPr="00EE6A92">
        <w:rPr>
          <w:rFonts w:ascii="Segoe UI" w:hAnsi="Segoe UI" w:cs="Segoe UI"/>
          <w:i/>
          <w:iCs/>
          <w:sz w:val="21"/>
          <w:szCs w:val="21"/>
        </w:rPr>
        <w:t>“system without data won’t work”</w:t>
      </w:r>
      <w:hyperlink r:id="rId136" w:history="1">
        <w:r w:rsidRPr="00EE6A92">
          <w:rPr>
            <w:rFonts w:ascii="Segoe UI" w:hAnsi="Segoe UI" w:cs="Segoe UI"/>
            <w:color w:val="464FEB"/>
            <w:sz w:val="21"/>
            <w:szCs w:val="21"/>
          </w:rPr>
          <w:t>[2]</w:t>
        </w:r>
      </w:hyperlink>
      <w:r w:rsidRPr="00EE6A92">
        <w:rPr>
          <w:rFonts w:ascii="Segoe UI" w:hAnsi="Segoe UI" w:cs="Segoe UI"/>
          <w:sz w:val="21"/>
          <w:szCs w:val="21"/>
        </w:rPr>
        <w:t>, underlining the business case for change). This factual, frank framing helped take personal sting out of conflicts and steered conversations towards solutions.</w:t>
      </w:r>
    </w:p>
    <w:p w14:paraId="7A950EA2" w14:textId="77777777" w:rsidR="00EE6A92" w:rsidRPr="00EE6A92" w:rsidRDefault="00EE6A92" w:rsidP="00EE6A92">
      <w:pPr>
        <w:numPr>
          <w:ilvl w:val="0"/>
          <w:numId w:val="1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Inclusive Conflict Resolution:</w:t>
      </w:r>
      <w:r w:rsidRPr="00EE6A92">
        <w:rPr>
          <w:rFonts w:ascii="Segoe UI" w:hAnsi="Segoe UI" w:cs="Segoe UI"/>
          <w:sz w:val="21"/>
          <w:szCs w:val="21"/>
        </w:rPr>
        <w:t xml:space="preserve"> When conflicts arose, Employee A aimed to resolve them </w:t>
      </w:r>
      <w:r w:rsidRPr="00EE6A92">
        <w:rPr>
          <w:rFonts w:ascii="Segoe UI" w:hAnsi="Segoe UI" w:cs="Segoe UI"/>
          <w:b/>
          <w:bCs/>
          <w:sz w:val="21"/>
          <w:szCs w:val="21"/>
        </w:rPr>
        <w:t>with all voices heard</w:t>
      </w:r>
      <w:r w:rsidRPr="00EE6A92">
        <w:rPr>
          <w:rFonts w:ascii="Segoe UI" w:hAnsi="Segoe UI" w:cs="Segoe UI"/>
          <w:sz w:val="21"/>
          <w:szCs w:val="21"/>
        </w:rPr>
        <w:t xml:space="preserve"> and in a fair manner. He often played the role of facilitator in tense meetings. For instance, during a mid-year strategy sync, a conflict emerged between TPC’s investment arm and its external fund (</w:t>
      </w:r>
      <w:proofErr w:type="spellStart"/>
      <w:r w:rsidRPr="00EE6A92">
        <w:rPr>
          <w:rFonts w:ascii="Segoe UI" w:hAnsi="Segoe UI" w:cs="Segoe UI"/>
          <w:sz w:val="21"/>
          <w:szCs w:val="21"/>
        </w:rPr>
        <w:t>Heritas</w:t>
      </w:r>
      <w:proofErr w:type="spellEnd"/>
      <w:r w:rsidRPr="00EE6A92">
        <w:rPr>
          <w:rFonts w:ascii="Segoe UI" w:hAnsi="Segoe UI" w:cs="Segoe UI"/>
          <w:sz w:val="21"/>
          <w:szCs w:val="21"/>
        </w:rPr>
        <w:t xml:space="preserve">) over investment opportunities. Meeting notes say </w:t>
      </w:r>
      <w:r w:rsidRPr="00EE6A92">
        <w:rPr>
          <w:rFonts w:ascii="Segoe UI" w:hAnsi="Segoe UI" w:cs="Segoe UI"/>
          <w:i/>
          <w:iCs/>
          <w:sz w:val="21"/>
          <w:szCs w:val="21"/>
        </w:rPr>
        <w:t xml:space="preserve">“Helpful to understand how we manage conflicts if TPC and </w:t>
      </w:r>
      <w:proofErr w:type="spellStart"/>
      <w:r w:rsidRPr="00EE6A92">
        <w:rPr>
          <w:rFonts w:ascii="Segoe UI" w:hAnsi="Segoe UI" w:cs="Segoe UI"/>
          <w:i/>
          <w:iCs/>
          <w:sz w:val="21"/>
          <w:szCs w:val="21"/>
        </w:rPr>
        <w:t>Heritas</w:t>
      </w:r>
      <w:proofErr w:type="spellEnd"/>
      <w:r w:rsidRPr="00EE6A92">
        <w:rPr>
          <w:rFonts w:ascii="Segoe UI" w:hAnsi="Segoe UI" w:cs="Segoe UI"/>
          <w:i/>
          <w:iCs/>
          <w:sz w:val="21"/>
          <w:szCs w:val="21"/>
        </w:rPr>
        <w:t xml:space="preserve"> wants to invest…who has first preference”</w:t>
      </w:r>
      <w:r w:rsidRPr="00EE6A92">
        <w:rPr>
          <w:rFonts w:ascii="Segoe UI" w:hAnsi="Segoe UI" w:cs="Segoe UI"/>
          <w:sz w:val="21"/>
          <w:szCs w:val="21"/>
        </w:rPr>
        <w:t xml:space="preserve">. Employee A worked with colleagues (May and ML in notes) to “deconflict” by delineating focus areas, ensuring each had room to operate. He likely helped broker that understanding offline as well, given his objective to establish TPC as an impact organization (which involved </w:t>
      </w:r>
      <w:proofErr w:type="spellStart"/>
      <w:r w:rsidRPr="00EE6A92">
        <w:rPr>
          <w:rFonts w:ascii="Segoe UI" w:hAnsi="Segoe UI" w:cs="Segoe UI"/>
          <w:sz w:val="21"/>
          <w:szCs w:val="21"/>
        </w:rPr>
        <w:t>Heritas</w:t>
      </w:r>
      <w:proofErr w:type="spellEnd"/>
      <w:r w:rsidRPr="00EE6A92">
        <w:rPr>
          <w:rFonts w:ascii="Segoe UI" w:hAnsi="Segoe UI" w:cs="Segoe UI"/>
          <w:sz w:val="21"/>
          <w:szCs w:val="21"/>
        </w:rPr>
        <w:t>). By structuring such dialogs – letting each side express concerns, then aligning on rules of engagement – Employee A made conflict resolution a transparent process. He frequently summarized the agreed next steps in writing (so everyone had the same understanding), an example of his accountable style.</w:t>
      </w:r>
    </w:p>
    <w:p w14:paraId="435F4B12" w14:textId="77777777" w:rsidR="00EE6A92" w:rsidRPr="00EE6A92" w:rsidRDefault="00EE6A92" w:rsidP="00EE6A92">
      <w:pPr>
        <w:numPr>
          <w:ilvl w:val="0"/>
          <w:numId w:val="1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Inviting Senior Support in Conflict:</w:t>
      </w:r>
      <w:r w:rsidRPr="00EE6A92">
        <w:rPr>
          <w:rFonts w:ascii="Segoe UI" w:hAnsi="Segoe UI" w:cs="Segoe UI"/>
          <w:sz w:val="21"/>
          <w:szCs w:val="21"/>
        </w:rPr>
        <w:t xml:space="preserve"> Employee A wasn’t afraid to </w:t>
      </w:r>
      <w:r w:rsidRPr="00EE6A92">
        <w:rPr>
          <w:rFonts w:ascii="Segoe UI" w:hAnsi="Segoe UI" w:cs="Segoe UI"/>
          <w:b/>
          <w:bCs/>
          <w:sz w:val="21"/>
          <w:szCs w:val="21"/>
        </w:rPr>
        <w:t>bring in higher-ups or neutral parties</w:t>
      </w:r>
      <w:r w:rsidRPr="00EE6A92">
        <w:rPr>
          <w:rFonts w:ascii="Segoe UI" w:hAnsi="Segoe UI" w:cs="Segoe UI"/>
          <w:sz w:val="21"/>
          <w:szCs w:val="21"/>
        </w:rPr>
        <w:t xml:space="preserve"> when needed to resolve a conflict transparently. In the data-sharing case, he specifically asked Niap to join the breakout discussion to reinforce the message</w:t>
      </w:r>
      <w:hyperlink r:id="rId137" w:history="1">
        <w:r w:rsidRPr="00EE6A92">
          <w:rPr>
            <w:rFonts w:ascii="Segoe UI" w:hAnsi="Segoe UI" w:cs="Segoe UI"/>
            <w:color w:val="464FEB"/>
            <w:sz w:val="21"/>
            <w:szCs w:val="21"/>
          </w:rPr>
          <w:t>[2]</w:t>
        </w:r>
      </w:hyperlink>
      <w:r w:rsidRPr="00EE6A92">
        <w:rPr>
          <w:rFonts w:ascii="Segoe UI" w:hAnsi="Segoe UI" w:cs="Segoe UI"/>
          <w:sz w:val="21"/>
          <w:szCs w:val="21"/>
        </w:rPr>
        <w:t xml:space="preserve">. This wasn’t escalation in a negative sense, but rather using leadership backing to ensure everyone took the resolution seriously. Similarly, if a conflict pertained to a policy or required a decision above his authority, Employee A would openly loop in the relevant exec. For example, when there was confusion about the 360° feedback process (some draft communications created misunderstanding), Employee A and Tang Bek </w:t>
      </w:r>
      <w:proofErr w:type="spellStart"/>
      <w:r w:rsidRPr="00EE6A92">
        <w:rPr>
          <w:rFonts w:ascii="Segoe UI" w:hAnsi="Segoe UI" w:cs="Segoe UI"/>
          <w:sz w:val="21"/>
          <w:szCs w:val="21"/>
        </w:rPr>
        <w:t>Wuay</w:t>
      </w:r>
      <w:proofErr w:type="spellEnd"/>
      <w:r w:rsidRPr="00EE6A92">
        <w:rPr>
          <w:rFonts w:ascii="Segoe UI" w:hAnsi="Segoe UI" w:cs="Segoe UI"/>
          <w:sz w:val="21"/>
          <w:szCs w:val="21"/>
        </w:rPr>
        <w:t xml:space="preserve"> immediately alerted Niap and Sherin to clarify the correct process</w:t>
      </w:r>
      <w:hyperlink r:id="rId138" w:history="1">
        <w:r w:rsidRPr="00EE6A92">
          <w:rPr>
            <w:rFonts w:ascii="Segoe UI" w:hAnsi="Segoe UI" w:cs="Segoe UI"/>
            <w:color w:val="464FEB"/>
            <w:sz w:val="21"/>
            <w:szCs w:val="21"/>
          </w:rPr>
          <w:t>[13]</w:t>
        </w:r>
      </w:hyperlink>
      <w:r w:rsidRPr="00EE6A92">
        <w:rPr>
          <w:rFonts w:ascii="Segoe UI" w:hAnsi="Segoe UI" w:cs="Segoe UI"/>
          <w:sz w:val="21"/>
          <w:szCs w:val="21"/>
        </w:rPr>
        <w:t>. They transparently corrected the information (letting everyone know the reviewer list was pre-set, to avoid conflict in selecting reviewers)</w:t>
      </w:r>
      <w:hyperlink r:id="rId139" w:history="1">
        <w:r w:rsidRPr="00EE6A92">
          <w:rPr>
            <w:rFonts w:ascii="Segoe UI" w:hAnsi="Segoe UI" w:cs="Segoe UI"/>
            <w:color w:val="464FEB"/>
            <w:sz w:val="21"/>
            <w:szCs w:val="21"/>
          </w:rPr>
          <w:t>[13]</w:t>
        </w:r>
      </w:hyperlink>
      <w:r w:rsidRPr="00EE6A92">
        <w:rPr>
          <w:rFonts w:ascii="Segoe UI" w:hAnsi="Segoe UI" w:cs="Segoe UI"/>
          <w:sz w:val="21"/>
          <w:szCs w:val="21"/>
        </w:rPr>
        <w:t>. This openness, even about mistakes in communication, helped maintain trust. People saw that if something wasn’t right, Employee A’s team would acknowledge it and fix it, rather than cover it up.</w:t>
      </w:r>
    </w:p>
    <w:p w14:paraId="39CFD2DF" w14:textId="77777777" w:rsidR="00EE6A92" w:rsidRPr="00EE6A92" w:rsidRDefault="00EE6A92" w:rsidP="00EE6A92">
      <w:pPr>
        <w:numPr>
          <w:ilvl w:val="0"/>
          <w:numId w:val="18"/>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Fairness and Impartiality:</w:t>
      </w:r>
      <w:r w:rsidRPr="00EE6A92">
        <w:rPr>
          <w:rFonts w:ascii="Segoe UI" w:hAnsi="Segoe UI" w:cs="Segoe UI"/>
          <w:sz w:val="21"/>
          <w:szCs w:val="21"/>
        </w:rPr>
        <w:t xml:space="preserve"> In managing conflicts, Employee A was perceived as </w:t>
      </w:r>
      <w:r w:rsidRPr="00EE6A92">
        <w:rPr>
          <w:rFonts w:ascii="Segoe UI" w:hAnsi="Segoe UI" w:cs="Segoe UI"/>
          <w:b/>
          <w:bCs/>
          <w:sz w:val="21"/>
          <w:szCs w:val="21"/>
        </w:rPr>
        <w:t>fair and impartial</w:t>
      </w:r>
      <w:r w:rsidRPr="00EE6A92">
        <w:rPr>
          <w:rFonts w:ascii="Segoe UI" w:hAnsi="Segoe UI" w:cs="Segoe UI"/>
          <w:sz w:val="21"/>
          <w:szCs w:val="21"/>
        </w:rPr>
        <w:t xml:space="preserve">, which is crucial for transparency. He did not play </w:t>
      </w:r>
      <w:proofErr w:type="spellStart"/>
      <w:r w:rsidRPr="00EE6A92">
        <w:rPr>
          <w:rFonts w:ascii="Segoe UI" w:hAnsi="Segoe UI" w:cs="Segoe UI"/>
          <w:sz w:val="21"/>
          <w:szCs w:val="21"/>
        </w:rPr>
        <w:t>favorites</w:t>
      </w:r>
      <w:proofErr w:type="spellEnd"/>
      <w:r w:rsidRPr="00EE6A92">
        <w:rPr>
          <w:rFonts w:ascii="Segoe UI" w:hAnsi="Segoe UI" w:cs="Segoe UI"/>
          <w:sz w:val="21"/>
          <w:szCs w:val="21"/>
        </w:rPr>
        <w:t xml:space="preserve">; his stance was guided by TPC’s values and objectives. For instance, in resource allocation conflicts (common in budgeting), he would refer back to objective criteria (like which project aligns more with strategic pillars). In one budgeting discussion, two projects vied for funding; Employee A suggested using TPC’s six-pillar framework to judge which project delivered more impact, providing a transparent rationale instead of a political choice (this is reflected in meeting notes where he emphasized alignment with strategic pillars in decision-making). This principled approach reduced personal conflict and made the process feel fair. Employee A also insisted on </w:t>
      </w:r>
      <w:r w:rsidRPr="00EE6A92">
        <w:rPr>
          <w:rFonts w:ascii="Segoe UI" w:hAnsi="Segoe UI" w:cs="Segoe UI"/>
          <w:b/>
          <w:bCs/>
          <w:sz w:val="21"/>
          <w:szCs w:val="21"/>
        </w:rPr>
        <w:t>truthfulness</w:t>
      </w:r>
      <w:r w:rsidRPr="00EE6A92">
        <w:rPr>
          <w:rFonts w:ascii="Segoe UI" w:hAnsi="Segoe UI" w:cs="Segoe UI"/>
          <w:sz w:val="21"/>
          <w:szCs w:val="21"/>
        </w:rPr>
        <w:t xml:space="preserve"> in reports and meetings: if a project was behind, he would report it honestly rather than sugarcoat, inviting others to help solve the delay. This level of honesty sometimes meant tough conversations, but ultimately it prevented bigger conflicts by tackling issues early.</w:t>
      </w:r>
    </w:p>
    <w:p w14:paraId="74D98CFA"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Employee A’s transparent conflict management ensured that </w:t>
      </w:r>
      <w:r w:rsidRPr="00EE6A92">
        <w:rPr>
          <w:rFonts w:ascii="Segoe UI" w:hAnsi="Segoe UI" w:cs="Segoe UI"/>
          <w:b/>
          <w:bCs/>
          <w:sz w:val="21"/>
          <w:szCs w:val="21"/>
        </w:rPr>
        <w:t>disagreements became productive</w:t>
      </w:r>
      <w:r w:rsidRPr="00EE6A92">
        <w:rPr>
          <w:rFonts w:ascii="Segoe UI" w:hAnsi="Segoe UI" w:cs="Segoe UI"/>
          <w:sz w:val="21"/>
          <w:szCs w:val="21"/>
        </w:rPr>
        <w:t xml:space="preserve"> rather than derailing progress. By addressing tensions (like data sharing) early and openly, he cleared obstacles that could have stalled critical initiatives (the AI data platform might have failed if data remained siloed). His inclusive approach meant solutions had broad buy-in, so once a conflict was resolved, everyone moved forward together. This is vital in transformation – lingering grudges or perceptions of unfairness can poison an initiative. Employee A largely avoided that in 2025; even controversial changes (like introducing 360° reviews) were implemented with minimal negativity because he invited feedback, adjusted processes transparently (e.g., clarifying how reviewers were chosen to quell concerns</w:t>
      </w:r>
      <w:hyperlink r:id="rId140" w:history="1">
        <w:r w:rsidRPr="00EE6A92">
          <w:rPr>
            <w:rFonts w:ascii="Segoe UI" w:hAnsi="Segoe UI" w:cs="Segoe UI"/>
            <w:color w:val="464FEB"/>
            <w:sz w:val="21"/>
            <w:szCs w:val="21"/>
          </w:rPr>
          <w:t>[13]</w:t>
        </w:r>
      </w:hyperlink>
      <w:r w:rsidRPr="00EE6A92">
        <w:rPr>
          <w:rFonts w:ascii="Segoe UI" w:hAnsi="Segoe UI" w:cs="Segoe UI"/>
          <w:sz w:val="21"/>
          <w:szCs w:val="21"/>
        </w:rPr>
        <w:t xml:space="preserve">), and provided support (coaches to interpret feedback, to avoid misuse). Another outcome: his reputation for fairness made people more willing to surface issues to him, knowing he’d handle them reasonably. This created a culture where problems were raised and fixed, rather than hidden. Over 2025, one could observe increasing cross-unit communication and fewer “undiscussables” in meetings – a sign that transparency was taking hold. In short, Employee A’s open conflict resolution removed roadblocks and built a </w:t>
      </w:r>
      <w:r w:rsidRPr="00EE6A92">
        <w:rPr>
          <w:rFonts w:ascii="Segoe UI" w:hAnsi="Segoe UI" w:cs="Segoe UI"/>
          <w:b/>
          <w:bCs/>
          <w:sz w:val="21"/>
          <w:szCs w:val="21"/>
        </w:rPr>
        <w:t>climate of trust</w:t>
      </w:r>
      <w:r w:rsidRPr="00EE6A92">
        <w:rPr>
          <w:rFonts w:ascii="Segoe UI" w:hAnsi="Segoe UI" w:cs="Segoe UI"/>
          <w:sz w:val="21"/>
          <w:szCs w:val="21"/>
        </w:rPr>
        <w:t>, both of which were indispensable to keeping the transformation on track.</w:t>
      </w:r>
    </w:p>
    <w:p w14:paraId="59023619"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44E250D9" w14:textId="77777777" w:rsidR="00EE6A92" w:rsidRPr="00EE6A92" w:rsidRDefault="00EE6A92" w:rsidP="00EE6A92">
      <w:pPr>
        <w:numPr>
          <w:ilvl w:val="0"/>
          <w:numId w:val="1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openly flagged the </w:t>
      </w:r>
      <w:r w:rsidRPr="00EE6A92">
        <w:rPr>
          <w:rFonts w:ascii="Segoe UI" w:hAnsi="Segoe UI" w:cs="Segoe UI"/>
          <w:b/>
          <w:bCs/>
          <w:sz w:val="21"/>
          <w:szCs w:val="21"/>
        </w:rPr>
        <w:t>data silo conflict</w:t>
      </w:r>
      <w:r w:rsidRPr="00EE6A92">
        <w:rPr>
          <w:rFonts w:ascii="Segoe UI" w:hAnsi="Segoe UI" w:cs="Segoe UI"/>
          <w:sz w:val="21"/>
          <w:szCs w:val="21"/>
        </w:rPr>
        <w:t>, explicitly stating the need to break “territorial” data habits and proposing policies to fix it</w:t>
      </w:r>
      <w:hyperlink r:id="rId141" w:history="1">
        <w:r w:rsidRPr="00EE6A92">
          <w:rPr>
            <w:rFonts w:ascii="Segoe UI" w:hAnsi="Segoe UI" w:cs="Segoe UI"/>
            <w:color w:val="464FEB"/>
            <w:sz w:val="21"/>
            <w:szCs w:val="21"/>
          </w:rPr>
          <w:t>[2]</w:t>
        </w:r>
      </w:hyperlink>
      <w:r w:rsidRPr="00EE6A92">
        <w:rPr>
          <w:rFonts w:ascii="Segoe UI" w:hAnsi="Segoe UI" w:cs="Segoe UI"/>
          <w:sz w:val="21"/>
          <w:szCs w:val="21"/>
        </w:rPr>
        <w:t>.</w:t>
      </w:r>
    </w:p>
    <w:p w14:paraId="394460A9" w14:textId="77777777" w:rsidR="00EE6A92" w:rsidRPr="00EE6A92" w:rsidRDefault="00EE6A92" w:rsidP="00EE6A92">
      <w:pPr>
        <w:numPr>
          <w:ilvl w:val="0"/>
          <w:numId w:val="1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enlisted </w:t>
      </w:r>
      <w:proofErr w:type="spellStart"/>
      <w:r w:rsidRPr="00EE6A92">
        <w:rPr>
          <w:rFonts w:ascii="Segoe UI" w:hAnsi="Segoe UI" w:cs="Segoe UI"/>
          <w:sz w:val="21"/>
          <w:szCs w:val="21"/>
        </w:rPr>
        <w:t>Niap’s</w:t>
      </w:r>
      <w:proofErr w:type="spellEnd"/>
      <w:r w:rsidRPr="00EE6A92">
        <w:rPr>
          <w:rFonts w:ascii="Segoe UI" w:hAnsi="Segoe UI" w:cs="Segoe UI"/>
          <w:sz w:val="21"/>
          <w:szCs w:val="21"/>
        </w:rPr>
        <w:t xml:space="preserve"> support to address this issue in an open forum, ensuring leadership backing and transparency</w:t>
      </w:r>
      <w:hyperlink r:id="rId142" w:history="1">
        <w:r w:rsidRPr="00EE6A92">
          <w:rPr>
            <w:rFonts w:ascii="Segoe UI" w:hAnsi="Segoe UI" w:cs="Segoe UI"/>
            <w:color w:val="464FEB"/>
            <w:sz w:val="21"/>
            <w:szCs w:val="21"/>
          </w:rPr>
          <w:t>[2]</w:t>
        </w:r>
      </w:hyperlink>
      <w:r w:rsidRPr="00EE6A92">
        <w:rPr>
          <w:rFonts w:ascii="Segoe UI" w:hAnsi="Segoe UI" w:cs="Segoe UI"/>
          <w:sz w:val="21"/>
          <w:szCs w:val="21"/>
        </w:rPr>
        <w:t>.</w:t>
      </w:r>
    </w:p>
    <w:p w14:paraId="0F3D0658" w14:textId="77777777" w:rsidR="00EE6A92" w:rsidRPr="00EE6A92" w:rsidRDefault="00EE6A92" w:rsidP="00EE6A92">
      <w:pPr>
        <w:numPr>
          <w:ilvl w:val="0"/>
          <w:numId w:val="1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Meeting notes on potential investment conflicts (TPC vs </w:t>
      </w:r>
      <w:proofErr w:type="spellStart"/>
      <w:r w:rsidRPr="00EE6A92">
        <w:rPr>
          <w:rFonts w:ascii="Segoe UI" w:hAnsi="Segoe UI" w:cs="Segoe UI"/>
          <w:sz w:val="21"/>
          <w:szCs w:val="21"/>
        </w:rPr>
        <w:t>Heritas</w:t>
      </w:r>
      <w:proofErr w:type="spellEnd"/>
      <w:r w:rsidRPr="00EE6A92">
        <w:rPr>
          <w:rFonts w:ascii="Segoe UI" w:hAnsi="Segoe UI" w:cs="Segoe UI"/>
          <w:sz w:val="21"/>
          <w:szCs w:val="21"/>
        </w:rPr>
        <w:t>) indicate he worked to “deconflict” overlapping interests by clarifying focus areas.</w:t>
      </w:r>
    </w:p>
    <w:p w14:paraId="3329145E" w14:textId="77777777" w:rsidR="00EE6A92" w:rsidRPr="00EE6A92" w:rsidRDefault="00EE6A92" w:rsidP="00EE6A92">
      <w:pPr>
        <w:numPr>
          <w:ilvl w:val="0"/>
          <w:numId w:val="1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When an internal communication about 360° feedback had inaccuracies, Employee A’s team immediately pointed it out and corrected it with senior management involved</w:t>
      </w:r>
      <w:hyperlink r:id="rId143" w:history="1">
        <w:r w:rsidRPr="00EE6A92">
          <w:rPr>
            <w:rFonts w:ascii="Segoe UI" w:hAnsi="Segoe UI" w:cs="Segoe UI"/>
            <w:color w:val="464FEB"/>
            <w:sz w:val="21"/>
            <w:szCs w:val="21"/>
          </w:rPr>
          <w:t>[13]</w:t>
        </w:r>
      </w:hyperlink>
      <w:r w:rsidRPr="00EE6A92">
        <w:rPr>
          <w:rFonts w:ascii="Segoe UI" w:hAnsi="Segoe UI" w:cs="Segoe UI"/>
          <w:sz w:val="21"/>
          <w:szCs w:val="21"/>
        </w:rPr>
        <w:t>, showing transparency in process fixes.</w:t>
      </w:r>
    </w:p>
    <w:p w14:paraId="49FF2F0B" w14:textId="77777777" w:rsidR="00EE6A92" w:rsidRPr="00EE6A92" w:rsidRDefault="00EE6A92" w:rsidP="00EE6A92">
      <w:pPr>
        <w:numPr>
          <w:ilvl w:val="0"/>
          <w:numId w:val="1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based conflict resolutions on clear criteria (strategic alignment, policies) rather than </w:t>
      </w:r>
      <w:proofErr w:type="spellStart"/>
      <w:r w:rsidRPr="00EE6A92">
        <w:rPr>
          <w:rFonts w:ascii="Segoe UI" w:hAnsi="Segoe UI" w:cs="Segoe UI"/>
          <w:sz w:val="21"/>
          <w:szCs w:val="21"/>
        </w:rPr>
        <w:t>favoritism</w:t>
      </w:r>
      <w:proofErr w:type="spellEnd"/>
      <w:r w:rsidRPr="00EE6A92">
        <w:rPr>
          <w:rFonts w:ascii="Segoe UI" w:hAnsi="Segoe UI" w:cs="Segoe UI"/>
          <w:sz w:val="21"/>
          <w:szCs w:val="21"/>
        </w:rPr>
        <w:t>, as evidenced by his references to strategic pillars/taxonomy during debates.</w:t>
      </w:r>
    </w:p>
    <w:p w14:paraId="5DBC8B1E" w14:textId="77777777" w:rsidR="00EE6A92" w:rsidRPr="00EE6A92" w:rsidRDefault="00EE6A92" w:rsidP="00EE6A92">
      <w:pPr>
        <w:numPr>
          <w:ilvl w:val="0"/>
          <w:numId w:val="19"/>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The 360° feedback initiative was run via a third-party platform with no managerial access to individual responses</w:t>
      </w:r>
      <w:hyperlink r:id="rId144" w:history="1">
        <w:r w:rsidRPr="00EE6A92">
          <w:rPr>
            <w:rFonts w:ascii="Segoe UI" w:hAnsi="Segoe UI" w:cs="Segoe UI"/>
            <w:color w:val="464FEB"/>
            <w:sz w:val="21"/>
            <w:szCs w:val="21"/>
          </w:rPr>
          <w:t>[5]</w:t>
        </w:r>
      </w:hyperlink>
      <w:r w:rsidRPr="00EE6A92">
        <w:rPr>
          <w:rFonts w:ascii="Segoe UI" w:hAnsi="Segoe UI" w:cs="Segoe UI"/>
          <w:sz w:val="21"/>
          <w:szCs w:val="21"/>
        </w:rPr>
        <w:t>, a design decision Employee A supported to allay fears of misuse – demonstrating conflict prevention through transparency and fairness.</w:t>
      </w:r>
    </w:p>
    <w:p w14:paraId="2531DABD"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7. Seeking Understanding &amp; Alignment within the Organizational Context</w:t>
      </w:r>
    </w:p>
    <w:p w14:paraId="04A13A2A"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Employee A consistently sought to </w:t>
      </w:r>
      <w:r w:rsidRPr="00EE6A92">
        <w:rPr>
          <w:rFonts w:ascii="Segoe UI" w:hAnsi="Segoe UI" w:cs="Segoe UI"/>
          <w:b/>
          <w:bCs/>
          <w:sz w:val="21"/>
          <w:szCs w:val="21"/>
        </w:rPr>
        <w:t>understand context and align initiatives</w:t>
      </w:r>
      <w:r w:rsidRPr="00EE6A92">
        <w:rPr>
          <w:rFonts w:ascii="Segoe UI" w:hAnsi="Segoe UI" w:cs="Segoe UI"/>
          <w:sz w:val="21"/>
          <w:szCs w:val="21"/>
        </w:rPr>
        <w:t xml:space="preserve"> with the bigger organizational picture. He acted as an interpreter of context – ensuring that everyone involved in transformation grasped how their piece fit into TPC’s broader strategy and structure:</w:t>
      </w:r>
    </w:p>
    <w:p w14:paraId="384104E5" w14:textId="77777777" w:rsidR="00EE6A92" w:rsidRPr="00EE6A92" w:rsidRDefault="00EE6A92" w:rsidP="00EE6A92">
      <w:pPr>
        <w:numPr>
          <w:ilvl w:val="0"/>
          <w:numId w:val="2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Contextualizing Goals:</w:t>
      </w:r>
      <w:r w:rsidRPr="00EE6A92">
        <w:rPr>
          <w:rFonts w:ascii="Segoe UI" w:hAnsi="Segoe UI" w:cs="Segoe UI"/>
          <w:sz w:val="21"/>
          <w:szCs w:val="21"/>
        </w:rPr>
        <w:t xml:space="preserve"> One of Employee A’s strengths was explaining </w:t>
      </w:r>
      <w:r w:rsidRPr="00EE6A92">
        <w:rPr>
          <w:rFonts w:ascii="Segoe UI" w:hAnsi="Segoe UI" w:cs="Segoe UI"/>
          <w:i/>
          <w:iCs/>
          <w:sz w:val="21"/>
          <w:szCs w:val="21"/>
        </w:rPr>
        <w:t>“the why”</w:t>
      </w:r>
      <w:r w:rsidRPr="00EE6A92">
        <w:rPr>
          <w:rFonts w:ascii="Segoe UI" w:hAnsi="Segoe UI" w:cs="Segoe UI"/>
          <w:sz w:val="21"/>
          <w:szCs w:val="21"/>
        </w:rPr>
        <w:t xml:space="preserve"> behind initiatives to align people’s understanding. During the rollout of TPC’s 2025 Objectives and Key Results, he took care to frame each objective in context. In planning notes, he included a </w:t>
      </w:r>
      <w:r w:rsidRPr="00EE6A92">
        <w:rPr>
          <w:rFonts w:ascii="Segoe UI" w:hAnsi="Segoe UI" w:cs="Segoe UI"/>
          <w:i/>
          <w:iCs/>
          <w:sz w:val="21"/>
          <w:szCs w:val="21"/>
        </w:rPr>
        <w:t>“Framing and Aspiration Statement”</w:t>
      </w:r>
      <w:r w:rsidRPr="00EE6A92">
        <w:rPr>
          <w:rFonts w:ascii="Segoe UI" w:hAnsi="Segoe UI" w:cs="Segoe UI"/>
          <w:sz w:val="21"/>
          <w:szCs w:val="21"/>
        </w:rPr>
        <w:t xml:space="preserve"> to describe the 5-year narrative of where TPC’s portfolio is heading</w:t>
      </w:r>
      <w:hyperlink r:id="rId145" w:history="1">
        <w:r w:rsidRPr="00EE6A92">
          <w:rPr>
            <w:rFonts w:ascii="Segoe UI" w:hAnsi="Segoe UI" w:cs="Segoe UI"/>
            <w:color w:val="464FEB"/>
            <w:sz w:val="21"/>
            <w:szCs w:val="21"/>
          </w:rPr>
          <w:t>[14]</w:t>
        </w:r>
      </w:hyperlink>
      <w:r w:rsidRPr="00EE6A92">
        <w:rPr>
          <w:rFonts w:ascii="Segoe UI" w:hAnsi="Segoe UI" w:cs="Segoe UI"/>
          <w:sz w:val="21"/>
          <w:szCs w:val="21"/>
        </w:rPr>
        <w:t>, giving people a clear vision to align their OKRs. He also outlined how corporate objectives would cascade to business units and even country offices, explicitly connecting each level</w:t>
      </w:r>
      <w:hyperlink r:id="rId146" w:history="1">
        <w:r w:rsidRPr="00EE6A92">
          <w:rPr>
            <w:rFonts w:ascii="Segoe UI" w:hAnsi="Segoe UI" w:cs="Segoe UI"/>
            <w:color w:val="464FEB"/>
            <w:sz w:val="21"/>
            <w:szCs w:val="21"/>
          </w:rPr>
          <w:t>[14]</w:t>
        </w:r>
      </w:hyperlink>
      <w:r w:rsidRPr="00EE6A92">
        <w:rPr>
          <w:rFonts w:ascii="Segoe UI" w:hAnsi="Segoe UI" w:cs="Segoe UI"/>
          <w:sz w:val="21"/>
          <w:szCs w:val="21"/>
        </w:rPr>
        <w:t>. This forethought prevented misalignment. For example, country managers in China, Thailand, Indonesia received guidance on how their local plans (like Thailand’s re-org focus, Indonesia’s green business focus) linked up to group priorities</w:t>
      </w:r>
      <w:hyperlink r:id="rId147" w:history="1">
        <w:r w:rsidRPr="00EE6A92">
          <w:rPr>
            <w:rFonts w:ascii="Segoe UI" w:hAnsi="Segoe UI" w:cs="Segoe UI"/>
            <w:color w:val="464FEB"/>
            <w:sz w:val="21"/>
            <w:szCs w:val="21"/>
          </w:rPr>
          <w:t>[14]</w:t>
        </w:r>
      </w:hyperlink>
      <w:r w:rsidRPr="00EE6A92">
        <w:rPr>
          <w:rFonts w:ascii="Segoe UI" w:hAnsi="Segoe UI" w:cs="Segoe UI"/>
          <w:sz w:val="21"/>
          <w:szCs w:val="21"/>
        </w:rPr>
        <w:t xml:space="preserve">. Employee A basically acted as a </w:t>
      </w:r>
      <w:r w:rsidRPr="00EE6A92">
        <w:rPr>
          <w:rFonts w:ascii="Segoe UI" w:hAnsi="Segoe UI" w:cs="Segoe UI"/>
          <w:b/>
          <w:bCs/>
          <w:sz w:val="21"/>
          <w:szCs w:val="21"/>
        </w:rPr>
        <w:t>translator of strategy</w:t>
      </w:r>
      <w:r w:rsidRPr="00EE6A92">
        <w:rPr>
          <w:rFonts w:ascii="Segoe UI" w:hAnsi="Segoe UI" w:cs="Segoe UI"/>
          <w:sz w:val="21"/>
          <w:szCs w:val="21"/>
        </w:rPr>
        <w:t>, aligning diverse teams by providing them the organizational context needed to make sense of their targets. Employees have noted that communications he sent (often co-signed with Niap or Sherin) did an excellent job in clarifying how an initiative relates to TPC’s mission, which increased buy-in.</w:t>
      </w:r>
    </w:p>
    <w:p w14:paraId="3165A267" w14:textId="77777777" w:rsidR="00EE6A92" w:rsidRPr="00EE6A92" w:rsidRDefault="00EE6A92" w:rsidP="00EE6A92">
      <w:pPr>
        <w:numPr>
          <w:ilvl w:val="0"/>
          <w:numId w:val="2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Ensuring Structural Alignment:</w:t>
      </w:r>
      <w:r w:rsidRPr="00EE6A92">
        <w:rPr>
          <w:rFonts w:ascii="Segoe UI" w:hAnsi="Segoe UI" w:cs="Segoe UI"/>
          <w:sz w:val="21"/>
          <w:szCs w:val="21"/>
        </w:rPr>
        <w:t xml:space="preserve"> 2025 was a year of some re-organization in TPC. Employee A contributed by aligning structures (org charts, role definitions) with evolving strategy. In March, after discussions with Niap, he updated the </w:t>
      </w:r>
      <w:r w:rsidRPr="00EE6A92">
        <w:rPr>
          <w:rFonts w:ascii="Segoe UI" w:hAnsi="Segoe UI" w:cs="Segoe UI"/>
          <w:b/>
          <w:bCs/>
          <w:sz w:val="21"/>
          <w:szCs w:val="21"/>
        </w:rPr>
        <w:t>Octave Institute org chart</w:t>
      </w:r>
      <w:r w:rsidRPr="00EE6A92">
        <w:rPr>
          <w:rFonts w:ascii="Segoe UI" w:hAnsi="Segoe UI" w:cs="Segoe UI"/>
          <w:sz w:val="21"/>
          <w:szCs w:val="21"/>
        </w:rPr>
        <w:t xml:space="preserve"> to better suit new priorities, such as adding a new consultant (Ajay) and expanding Joanne’s scope to include Learning</w:t>
      </w:r>
      <w:hyperlink r:id="rId148" w:history="1">
        <w:r w:rsidRPr="00EE6A92">
          <w:rPr>
            <w:rFonts w:ascii="Segoe UI" w:hAnsi="Segoe UI" w:cs="Segoe UI"/>
            <w:color w:val="464FEB"/>
            <w:sz w:val="21"/>
            <w:szCs w:val="21"/>
          </w:rPr>
          <w:t>[4]</w:t>
        </w:r>
      </w:hyperlink>
      <w:r w:rsidRPr="00EE6A92">
        <w:rPr>
          <w:rFonts w:ascii="Segoe UI" w:hAnsi="Segoe UI" w:cs="Segoe UI"/>
          <w:sz w:val="21"/>
          <w:szCs w:val="21"/>
        </w:rPr>
        <w:t xml:space="preserve">. He didn’t stop at making the chart; he explicitly stated </w:t>
      </w:r>
      <w:r w:rsidRPr="00EE6A92">
        <w:rPr>
          <w:rFonts w:ascii="Segoe UI" w:hAnsi="Segoe UI" w:cs="Segoe UI"/>
          <w:i/>
          <w:iCs/>
          <w:sz w:val="21"/>
          <w:szCs w:val="21"/>
        </w:rPr>
        <w:t>why</w:t>
      </w:r>
      <w:r w:rsidRPr="00EE6A92">
        <w:rPr>
          <w:rFonts w:ascii="Segoe UI" w:hAnsi="Segoe UI" w:cs="Segoe UI"/>
          <w:sz w:val="21"/>
          <w:szCs w:val="21"/>
        </w:rPr>
        <w:t xml:space="preserve"> changes were made (e.g., to prepare for a larger Learning agenda, given Joanne’s strengths)</w:t>
      </w:r>
      <w:hyperlink r:id="rId149" w:history="1">
        <w:r w:rsidRPr="00EE6A92">
          <w:rPr>
            <w:rFonts w:ascii="Segoe UI" w:hAnsi="Segoe UI" w:cs="Segoe UI"/>
            <w:color w:val="464FEB"/>
            <w:sz w:val="21"/>
            <w:szCs w:val="21"/>
          </w:rPr>
          <w:t>[4]</w:t>
        </w:r>
      </w:hyperlink>
      <w:r w:rsidRPr="00EE6A92">
        <w:rPr>
          <w:rFonts w:ascii="Segoe UI" w:hAnsi="Segoe UI" w:cs="Segoe UI"/>
          <w:sz w:val="21"/>
          <w:szCs w:val="21"/>
        </w:rPr>
        <w:t>. By articulating the rationale, he helped those affected understand the context, thus easing the transition. Similarly, when Niap requested adding a key responsibility around research (consciousness, leadership, AI) to Employee A’s role profile, Employee A promptly aligned his role description to include that</w:t>
      </w:r>
      <w:hyperlink r:id="rId150" w:history="1">
        <w:r w:rsidRPr="00EE6A92">
          <w:rPr>
            <w:rFonts w:ascii="Segoe UI" w:hAnsi="Segoe UI" w:cs="Segoe UI"/>
            <w:color w:val="464FEB"/>
            <w:sz w:val="21"/>
            <w:szCs w:val="21"/>
          </w:rPr>
          <w:t>[15]</w:t>
        </w:r>
      </w:hyperlink>
      <w:r w:rsidRPr="00EE6A92">
        <w:rPr>
          <w:rFonts w:ascii="Segoe UI" w:hAnsi="Segoe UI" w:cs="Segoe UI"/>
          <w:sz w:val="21"/>
          <w:szCs w:val="21"/>
        </w:rPr>
        <w:t xml:space="preserve">. This alignment of roles with strategy ensured clarity: everyone knew who was responsible for what in the context of TPC’s transformation. In essence, Employee A made sure the </w:t>
      </w:r>
      <w:r w:rsidRPr="00EE6A92">
        <w:rPr>
          <w:rFonts w:ascii="Segoe UI" w:hAnsi="Segoe UI" w:cs="Segoe UI"/>
          <w:i/>
          <w:iCs/>
          <w:sz w:val="21"/>
          <w:szCs w:val="21"/>
        </w:rPr>
        <w:t>org chart matched the strategy chart</w:t>
      </w:r>
      <w:r w:rsidRPr="00EE6A92">
        <w:rPr>
          <w:rFonts w:ascii="Segoe UI" w:hAnsi="Segoe UI" w:cs="Segoe UI"/>
          <w:sz w:val="21"/>
          <w:szCs w:val="21"/>
        </w:rPr>
        <w:t>, reducing confusion and overlapping duties.</w:t>
      </w:r>
    </w:p>
    <w:p w14:paraId="231421C3" w14:textId="77777777" w:rsidR="00EE6A92" w:rsidRPr="00EE6A92" w:rsidRDefault="00EE6A92" w:rsidP="00EE6A92">
      <w:pPr>
        <w:numPr>
          <w:ilvl w:val="0"/>
          <w:numId w:val="2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Enterprise-Wide Alignment Mechanisms:</w:t>
      </w:r>
      <w:r w:rsidRPr="00EE6A92">
        <w:rPr>
          <w:rFonts w:ascii="Segoe UI" w:hAnsi="Segoe UI" w:cs="Segoe UI"/>
          <w:sz w:val="21"/>
          <w:szCs w:val="21"/>
        </w:rPr>
        <w:t xml:space="preserve"> Employee A established mechanisms (meetings, reviews) to continuously check alignment. He chaired (or co-chaired) periodic </w:t>
      </w:r>
      <w:r w:rsidRPr="00EE6A92">
        <w:rPr>
          <w:rFonts w:ascii="Segoe UI" w:hAnsi="Segoe UI" w:cs="Segoe UI"/>
          <w:b/>
          <w:bCs/>
          <w:sz w:val="21"/>
          <w:szCs w:val="21"/>
        </w:rPr>
        <w:t>“sync-up” meetings</w:t>
      </w:r>
      <w:r w:rsidRPr="00EE6A92">
        <w:rPr>
          <w:rFonts w:ascii="Segoe UI" w:hAnsi="Segoe UI" w:cs="Segoe UI"/>
          <w:sz w:val="21"/>
          <w:szCs w:val="21"/>
        </w:rPr>
        <w:t xml:space="preserve"> – for instance, the Weekly TPC &amp; Corporate Meetings – where each function shared updates and he would highlight linkages. In one meeting, after various pillars were discussed, Employee A reminded that both foundation #17 SDG focus and </w:t>
      </w:r>
      <w:proofErr w:type="spellStart"/>
      <w:r w:rsidRPr="00EE6A92">
        <w:rPr>
          <w:rFonts w:ascii="Segoe UI" w:hAnsi="Segoe UI" w:cs="Segoe UI"/>
          <w:sz w:val="21"/>
          <w:szCs w:val="21"/>
        </w:rPr>
        <w:t>Tianchi’s</w:t>
      </w:r>
      <w:proofErr w:type="spellEnd"/>
      <w:r w:rsidRPr="00EE6A92">
        <w:rPr>
          <w:rFonts w:ascii="Segoe UI" w:hAnsi="Segoe UI" w:cs="Segoe UI"/>
          <w:sz w:val="21"/>
          <w:szCs w:val="21"/>
        </w:rPr>
        <w:t xml:space="preserve"> 6-pillar breakdown </w:t>
      </w:r>
      <w:r w:rsidRPr="00EE6A92">
        <w:rPr>
          <w:rFonts w:ascii="Segoe UI" w:hAnsi="Segoe UI" w:cs="Segoe UI"/>
          <w:i/>
          <w:iCs/>
          <w:sz w:val="21"/>
          <w:szCs w:val="21"/>
        </w:rPr>
        <w:t>“must align”</w:t>
      </w:r>
      <w:r w:rsidRPr="00EE6A92">
        <w:rPr>
          <w:rFonts w:ascii="Segoe UI" w:hAnsi="Segoe UI" w:cs="Segoe UI"/>
          <w:sz w:val="21"/>
          <w:szCs w:val="21"/>
        </w:rPr>
        <w:t xml:space="preserve"> and that he will “work with Sook Yee” on that. This comment, captured in minutes, shows him actively intervening to align two parallel frameworks (foundation’s vs strategy’s) that had diverged. Additionally, Employee A helped organize </w:t>
      </w:r>
      <w:r w:rsidRPr="00EE6A92">
        <w:rPr>
          <w:rFonts w:ascii="Segoe UI" w:hAnsi="Segoe UI" w:cs="Segoe UI"/>
          <w:b/>
          <w:bCs/>
          <w:sz w:val="21"/>
          <w:szCs w:val="21"/>
        </w:rPr>
        <w:t>briefings and trainings</w:t>
      </w:r>
      <w:r w:rsidRPr="00EE6A92">
        <w:rPr>
          <w:rFonts w:ascii="Segoe UI" w:hAnsi="Segoe UI" w:cs="Segoe UI"/>
          <w:sz w:val="21"/>
          <w:szCs w:val="21"/>
        </w:rPr>
        <w:t xml:space="preserve"> whenever something new was introduced, to ensure understanding at all levels. Example: before launching the 360° survey, he was involved in briefing BU leaders on how it works and why it’s done (the briefing email emphasizes purpose and confidentiality)</w:t>
      </w:r>
      <w:hyperlink r:id="rId151" w:history="1">
        <w:r w:rsidRPr="00EE6A92">
          <w:rPr>
            <w:rFonts w:ascii="Segoe UI" w:hAnsi="Segoe UI" w:cs="Segoe UI"/>
            <w:color w:val="464FEB"/>
            <w:sz w:val="21"/>
            <w:szCs w:val="21"/>
          </w:rPr>
          <w:t>[5]</w:t>
        </w:r>
      </w:hyperlink>
      <w:hyperlink r:id="rId152" w:history="1">
        <w:r w:rsidRPr="00EE6A92">
          <w:rPr>
            <w:rFonts w:ascii="Segoe UI" w:hAnsi="Segoe UI" w:cs="Segoe UI"/>
            <w:color w:val="464FEB"/>
            <w:sz w:val="21"/>
            <w:szCs w:val="21"/>
          </w:rPr>
          <w:t>[5]</w:t>
        </w:r>
      </w:hyperlink>
      <w:r w:rsidRPr="00EE6A92">
        <w:rPr>
          <w:rFonts w:ascii="Segoe UI" w:hAnsi="Segoe UI" w:cs="Segoe UI"/>
          <w:sz w:val="21"/>
          <w:szCs w:val="21"/>
        </w:rPr>
        <w:t>. By educating and aligning understanding up front, he pre-empted misinterpretations that could undermine the effort.</w:t>
      </w:r>
    </w:p>
    <w:p w14:paraId="565FEF3C" w14:textId="77777777" w:rsidR="00EE6A92" w:rsidRPr="00EE6A92" w:rsidRDefault="00EE6A92" w:rsidP="00EE6A92">
      <w:pPr>
        <w:numPr>
          <w:ilvl w:val="0"/>
          <w:numId w:val="20"/>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Listening for Misalignment:</w:t>
      </w:r>
      <w:r w:rsidRPr="00EE6A92">
        <w:rPr>
          <w:rFonts w:ascii="Segoe UI" w:hAnsi="Segoe UI" w:cs="Segoe UI"/>
          <w:sz w:val="21"/>
          <w:szCs w:val="21"/>
        </w:rPr>
        <w:t xml:space="preserve"> Seeking understanding wasn’t one-way – Employee A also listened for feedback if something wasn’t clear or aligned. When rolling out the Profit.co OKR system, he collected input from functions over “several weeks” before finalizing, as noted in meeting next steps. This allowed him to catch misunderstandings or misalignments (for instance, if a department set an OKR that didn’t truly ladder up, he could advise them to tweak it). His approachable </w:t>
      </w:r>
      <w:proofErr w:type="spellStart"/>
      <w:r w:rsidRPr="00EE6A92">
        <w:rPr>
          <w:rFonts w:ascii="Segoe UI" w:hAnsi="Segoe UI" w:cs="Segoe UI"/>
          <w:sz w:val="21"/>
          <w:szCs w:val="21"/>
        </w:rPr>
        <w:t>demeanor</w:t>
      </w:r>
      <w:proofErr w:type="spellEnd"/>
      <w:r w:rsidRPr="00EE6A92">
        <w:rPr>
          <w:rFonts w:ascii="Segoe UI" w:hAnsi="Segoe UI" w:cs="Segoe UI"/>
          <w:sz w:val="21"/>
          <w:szCs w:val="21"/>
        </w:rPr>
        <w:t xml:space="preserve"> meant managers felt comfortable asking “dumb” questions about new processes, which he would patiently clarify. One email from September shows Employee A reviewing an external training proposal called “The Alignment Advantage” and agreeing it aligns well with Octave’s habits, but also noting TPC </w:t>
      </w:r>
      <w:r w:rsidRPr="00EE6A92">
        <w:rPr>
          <w:rFonts w:ascii="Segoe UI" w:hAnsi="Segoe UI" w:cs="Segoe UI"/>
          <w:i/>
          <w:iCs/>
          <w:sz w:val="21"/>
          <w:szCs w:val="21"/>
        </w:rPr>
        <w:t>“has our own protocol”</w:t>
      </w:r>
      <w:r w:rsidRPr="00EE6A92">
        <w:rPr>
          <w:rFonts w:ascii="Segoe UI" w:hAnsi="Segoe UI" w:cs="Segoe UI"/>
          <w:sz w:val="21"/>
          <w:szCs w:val="21"/>
        </w:rPr>
        <w:t xml:space="preserve"> and hence needing discussion</w:t>
      </w:r>
      <w:hyperlink r:id="rId153" w:history="1">
        <w:r w:rsidRPr="00EE6A92">
          <w:rPr>
            <w:rFonts w:ascii="Segoe UI" w:hAnsi="Segoe UI" w:cs="Segoe UI"/>
            <w:color w:val="464FEB"/>
            <w:sz w:val="21"/>
            <w:szCs w:val="21"/>
          </w:rPr>
          <w:t>[1]</w:t>
        </w:r>
      </w:hyperlink>
      <w:hyperlink r:id="rId154" w:history="1">
        <w:r w:rsidRPr="00EE6A92">
          <w:rPr>
            <w:rFonts w:ascii="Segoe UI" w:hAnsi="Segoe UI" w:cs="Segoe UI"/>
            <w:color w:val="464FEB"/>
            <w:sz w:val="21"/>
            <w:szCs w:val="21"/>
          </w:rPr>
          <w:t>[1]</w:t>
        </w:r>
      </w:hyperlink>
      <w:r w:rsidRPr="00EE6A92">
        <w:rPr>
          <w:rFonts w:ascii="Segoe UI" w:hAnsi="Segoe UI" w:cs="Segoe UI"/>
          <w:sz w:val="21"/>
          <w:szCs w:val="21"/>
        </w:rPr>
        <w:t>. This indicates he’s discerning about alignment – recognizing similarities but also differences that must be reconciled. He then offered to connect with the proposer to explore further</w:t>
      </w:r>
      <w:hyperlink r:id="rId155" w:history="1">
        <w:r w:rsidRPr="00EE6A92">
          <w:rPr>
            <w:rFonts w:ascii="Segoe UI" w:hAnsi="Segoe UI" w:cs="Segoe UI"/>
            <w:color w:val="464FEB"/>
            <w:sz w:val="21"/>
            <w:szCs w:val="21"/>
          </w:rPr>
          <w:t>[1]</w:t>
        </w:r>
      </w:hyperlink>
      <w:r w:rsidRPr="00EE6A92">
        <w:rPr>
          <w:rFonts w:ascii="Segoe UI" w:hAnsi="Segoe UI" w:cs="Segoe UI"/>
          <w:sz w:val="21"/>
          <w:szCs w:val="21"/>
        </w:rPr>
        <w:t>, showing how he seeks full understanding (via dialogue) before integrating something new. This thoroughness prevented hasty adoption of programs that might not fit TPC’s context.</w:t>
      </w:r>
    </w:p>
    <w:p w14:paraId="3969AFE2"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By diligently seeking understanding and alignment, Employee A acted as a </w:t>
      </w:r>
      <w:r w:rsidRPr="00EE6A92">
        <w:rPr>
          <w:rFonts w:ascii="Segoe UI" w:hAnsi="Segoe UI" w:cs="Segoe UI"/>
          <w:b/>
          <w:bCs/>
          <w:sz w:val="21"/>
          <w:szCs w:val="21"/>
        </w:rPr>
        <w:t>compass</w:t>
      </w:r>
      <w:r w:rsidRPr="00EE6A92">
        <w:rPr>
          <w:rFonts w:ascii="Segoe UI" w:hAnsi="Segoe UI" w:cs="Segoe UI"/>
          <w:sz w:val="21"/>
          <w:szCs w:val="21"/>
        </w:rPr>
        <w:t xml:space="preserve"> for TPC’s transformation, keeping everyone oriented toward true north. His efforts meant that initiatives reinforced each other rather than clashing. For example, aligning OKRs with the well-being mandate</w:t>
      </w:r>
      <w:hyperlink r:id="rId156" w:history="1">
        <w:r w:rsidRPr="00EE6A92">
          <w:rPr>
            <w:rFonts w:ascii="Segoe UI" w:hAnsi="Segoe UI" w:cs="Segoe UI"/>
            <w:color w:val="464FEB"/>
            <w:sz w:val="21"/>
            <w:szCs w:val="21"/>
          </w:rPr>
          <w:t>[14]</w:t>
        </w:r>
      </w:hyperlink>
      <w:r w:rsidRPr="00EE6A92">
        <w:rPr>
          <w:rFonts w:ascii="Segoe UI" w:hAnsi="Segoe UI" w:cs="Segoe UI"/>
          <w:sz w:val="21"/>
          <w:szCs w:val="21"/>
        </w:rPr>
        <w:t xml:space="preserve"> ensured that pushing for financial or tech outcomes did not undermine cultural goals – all objectives worked in concert. When employees understand not just </w:t>
      </w:r>
      <w:r w:rsidRPr="00EE6A92">
        <w:rPr>
          <w:rFonts w:ascii="Segoe UI" w:hAnsi="Segoe UI" w:cs="Segoe UI"/>
          <w:i/>
          <w:iCs/>
          <w:sz w:val="21"/>
          <w:szCs w:val="21"/>
        </w:rPr>
        <w:t>what</w:t>
      </w:r>
      <w:r w:rsidRPr="00EE6A92">
        <w:rPr>
          <w:rFonts w:ascii="Segoe UI" w:hAnsi="Segoe UI" w:cs="Segoe UI"/>
          <w:sz w:val="21"/>
          <w:szCs w:val="21"/>
        </w:rPr>
        <w:t xml:space="preserve"> they’re doing but </w:t>
      </w:r>
      <w:r w:rsidRPr="00EE6A92">
        <w:rPr>
          <w:rFonts w:ascii="Segoe UI" w:hAnsi="Segoe UI" w:cs="Segoe UI"/>
          <w:i/>
          <w:iCs/>
          <w:sz w:val="21"/>
          <w:szCs w:val="21"/>
        </w:rPr>
        <w:t>why</w:t>
      </w:r>
      <w:r w:rsidRPr="00EE6A92">
        <w:rPr>
          <w:rFonts w:ascii="Segoe UI" w:hAnsi="Segoe UI" w:cs="Segoe UI"/>
          <w:sz w:val="21"/>
          <w:szCs w:val="21"/>
        </w:rPr>
        <w:t xml:space="preserve">, their execution improves. Thanks to Employee A, 2025’s many changes (new processes, systems, objectives) were well contextualized, so adoption was faster and with less friction. People weren’t left confused about priorities; Employee A’s communications and training made the priorities clear. Moreover, catching misalignments early (as he did in meetings) saved time and friction – it’s far easier to adjust a plan in the conception phase than to fix something already implemented wrong. This vigilance for alignment also contributed to </w:t>
      </w:r>
      <w:r w:rsidRPr="00EE6A92">
        <w:rPr>
          <w:rFonts w:ascii="Segoe UI" w:hAnsi="Segoe UI" w:cs="Segoe UI"/>
          <w:b/>
          <w:bCs/>
          <w:sz w:val="21"/>
          <w:szCs w:val="21"/>
        </w:rPr>
        <w:t>coherence</w:t>
      </w:r>
      <w:r w:rsidRPr="00EE6A92">
        <w:rPr>
          <w:rFonts w:ascii="Segoe UI" w:hAnsi="Segoe UI" w:cs="Segoe UI"/>
          <w:sz w:val="21"/>
          <w:szCs w:val="21"/>
        </w:rPr>
        <w:t xml:space="preserve"> in TPC’s strategy: despite numerous projects, stakeholders could always trace back how each one fit into the six strategic pillars or the well-being mandate, because Employee A and team explicitly mapped them. Such coherence is critical in a transformation, to avoid the “initiative overload” syndrome where employees see disparate, purposeless projects. Under Employee A’s coordination, TPC’s transformation projects felt like parts of one cohesive program. That clarity boosted stakeholder confidence (including the Board and employees) that the transformation was well-steered and holistic, not piecemeal.</w:t>
      </w:r>
    </w:p>
    <w:p w14:paraId="268D37D6"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12A3D234" w14:textId="77777777" w:rsidR="00EE6A92" w:rsidRPr="00EE6A92" w:rsidRDefault="00EE6A92" w:rsidP="00EE6A92">
      <w:pPr>
        <w:numPr>
          <w:ilvl w:val="0"/>
          <w:numId w:val="2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Employee A provided framing context for OKRs (5-year narrative, cascading structure) to ensure teams understood how their goals fit the big picture</w:t>
      </w:r>
      <w:hyperlink r:id="rId157" w:history="1">
        <w:r w:rsidRPr="00EE6A92">
          <w:rPr>
            <w:rFonts w:ascii="Segoe UI" w:hAnsi="Segoe UI" w:cs="Segoe UI"/>
            <w:color w:val="464FEB"/>
            <w:sz w:val="21"/>
            <w:szCs w:val="21"/>
          </w:rPr>
          <w:t>[14]</w:t>
        </w:r>
      </w:hyperlink>
      <w:hyperlink r:id="rId158" w:history="1">
        <w:r w:rsidRPr="00EE6A92">
          <w:rPr>
            <w:rFonts w:ascii="Segoe UI" w:hAnsi="Segoe UI" w:cs="Segoe UI"/>
            <w:color w:val="464FEB"/>
            <w:sz w:val="21"/>
            <w:szCs w:val="21"/>
          </w:rPr>
          <w:t>[14]</w:t>
        </w:r>
      </w:hyperlink>
      <w:r w:rsidRPr="00EE6A92">
        <w:rPr>
          <w:rFonts w:ascii="Segoe UI" w:hAnsi="Segoe UI" w:cs="Segoe UI"/>
          <w:sz w:val="21"/>
          <w:szCs w:val="21"/>
        </w:rPr>
        <w:t>.</w:t>
      </w:r>
    </w:p>
    <w:p w14:paraId="31C3D6FB" w14:textId="77777777" w:rsidR="00EE6A92" w:rsidRPr="00EE6A92" w:rsidRDefault="00EE6A92" w:rsidP="00EE6A92">
      <w:pPr>
        <w:numPr>
          <w:ilvl w:val="0"/>
          <w:numId w:val="2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aligned organizational structure with strategy, e.g. updating Octave’s org chart and role profiles to reflect new focus areas (Ajay’s inclusion, Joanne’s expanded scope)</w:t>
      </w:r>
      <w:hyperlink r:id="rId159" w:history="1">
        <w:r w:rsidRPr="00EE6A92">
          <w:rPr>
            <w:rFonts w:ascii="Segoe UI" w:hAnsi="Segoe UI" w:cs="Segoe UI"/>
            <w:color w:val="464FEB"/>
            <w:sz w:val="21"/>
            <w:szCs w:val="21"/>
          </w:rPr>
          <w:t>[4]</w:t>
        </w:r>
      </w:hyperlink>
      <w:r w:rsidRPr="00EE6A92">
        <w:rPr>
          <w:rFonts w:ascii="Segoe UI" w:hAnsi="Segoe UI" w:cs="Segoe UI"/>
          <w:sz w:val="21"/>
          <w:szCs w:val="21"/>
        </w:rPr>
        <w:t xml:space="preserve"> and incorporating manager feedback into roles</w:t>
      </w:r>
      <w:hyperlink r:id="rId160" w:history="1">
        <w:r w:rsidRPr="00EE6A92">
          <w:rPr>
            <w:rFonts w:ascii="Segoe UI" w:hAnsi="Segoe UI" w:cs="Segoe UI"/>
            <w:color w:val="464FEB"/>
            <w:sz w:val="21"/>
            <w:szCs w:val="21"/>
          </w:rPr>
          <w:t>[15]</w:t>
        </w:r>
      </w:hyperlink>
      <w:r w:rsidRPr="00EE6A92">
        <w:rPr>
          <w:rFonts w:ascii="Segoe UI" w:hAnsi="Segoe UI" w:cs="Segoe UI"/>
          <w:sz w:val="21"/>
          <w:szCs w:val="21"/>
        </w:rPr>
        <w:t>.</w:t>
      </w:r>
    </w:p>
    <w:p w14:paraId="411B169A" w14:textId="77777777" w:rsidR="00EE6A92" w:rsidRPr="00EE6A92" w:rsidRDefault="00EE6A92" w:rsidP="00EE6A92">
      <w:pPr>
        <w:numPr>
          <w:ilvl w:val="0"/>
          <w:numId w:val="2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intervened in meetings to reconcile different frameworks so that they “must align” (working with Sook Yee on aligning pillars and SDGs).</w:t>
      </w:r>
    </w:p>
    <w:p w14:paraId="473EED5C" w14:textId="77777777" w:rsidR="00EE6A92" w:rsidRPr="00EE6A92" w:rsidRDefault="00EE6A92" w:rsidP="00EE6A92">
      <w:pPr>
        <w:numPr>
          <w:ilvl w:val="0"/>
          <w:numId w:val="2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Communications for new initiatives (360 survey launch) clearly explained objectives and processes, promoting understanding and aligning expectations</w:t>
      </w:r>
      <w:hyperlink r:id="rId161" w:history="1">
        <w:r w:rsidRPr="00EE6A92">
          <w:rPr>
            <w:rFonts w:ascii="Segoe UI" w:hAnsi="Segoe UI" w:cs="Segoe UI"/>
            <w:color w:val="464FEB"/>
            <w:sz w:val="21"/>
            <w:szCs w:val="21"/>
          </w:rPr>
          <w:t>[5]</w:t>
        </w:r>
      </w:hyperlink>
      <w:hyperlink r:id="rId162" w:history="1">
        <w:r w:rsidRPr="00EE6A92">
          <w:rPr>
            <w:rFonts w:ascii="Segoe UI" w:hAnsi="Segoe UI" w:cs="Segoe UI"/>
            <w:color w:val="464FEB"/>
            <w:sz w:val="21"/>
            <w:szCs w:val="21"/>
          </w:rPr>
          <w:t>[5]</w:t>
        </w:r>
      </w:hyperlink>
      <w:r w:rsidRPr="00EE6A92">
        <w:rPr>
          <w:rFonts w:ascii="Segoe UI" w:hAnsi="Segoe UI" w:cs="Segoe UI"/>
          <w:sz w:val="21"/>
          <w:szCs w:val="21"/>
        </w:rPr>
        <w:t>.</w:t>
      </w:r>
    </w:p>
    <w:p w14:paraId="5424ACFA" w14:textId="77777777" w:rsidR="00EE6A92" w:rsidRPr="00EE6A92" w:rsidRDefault="00EE6A92" w:rsidP="00EE6A92">
      <w:pPr>
        <w:numPr>
          <w:ilvl w:val="0"/>
          <w:numId w:val="2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reviewed external program proposals for alignment with TPC’s protocols and engaged in follow-up discussions to fully understand fit before proceeding</w:t>
      </w:r>
      <w:hyperlink r:id="rId163" w:history="1">
        <w:r w:rsidRPr="00EE6A92">
          <w:rPr>
            <w:rFonts w:ascii="Segoe UI" w:hAnsi="Segoe UI" w:cs="Segoe UI"/>
            <w:color w:val="464FEB"/>
            <w:sz w:val="21"/>
            <w:szCs w:val="21"/>
          </w:rPr>
          <w:t>[1]</w:t>
        </w:r>
      </w:hyperlink>
      <w:hyperlink r:id="rId164" w:history="1">
        <w:r w:rsidRPr="00EE6A92">
          <w:rPr>
            <w:rFonts w:ascii="Segoe UI" w:hAnsi="Segoe UI" w:cs="Segoe UI"/>
            <w:color w:val="464FEB"/>
            <w:sz w:val="21"/>
            <w:szCs w:val="21"/>
          </w:rPr>
          <w:t>[1]</w:t>
        </w:r>
      </w:hyperlink>
      <w:r w:rsidRPr="00EE6A92">
        <w:rPr>
          <w:rFonts w:ascii="Segoe UI" w:hAnsi="Segoe UI" w:cs="Segoe UI"/>
          <w:sz w:val="21"/>
          <w:szCs w:val="21"/>
        </w:rPr>
        <w:t>.</w:t>
      </w:r>
    </w:p>
    <w:p w14:paraId="1E0CC266" w14:textId="77777777" w:rsidR="00EE6A92" w:rsidRPr="00EE6A92" w:rsidRDefault="00EE6A92" w:rsidP="00EE6A92">
      <w:pPr>
        <w:numPr>
          <w:ilvl w:val="0"/>
          <w:numId w:val="21"/>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Next-step plans for rolling out changes show he allowed time for feedback and inputs across functions before finalizing, indicating a thorough alignment process.</w:t>
      </w:r>
    </w:p>
    <w:p w14:paraId="6A8A72C8"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8. Ethical Management of Resources – Truthfulness, Integrity &amp; Accountability</w:t>
      </w:r>
    </w:p>
    <w:p w14:paraId="5C62578B"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In overseeing transformation initiatives, Employee A upheld high standards of </w:t>
      </w:r>
      <w:r w:rsidRPr="00EE6A92">
        <w:rPr>
          <w:rFonts w:ascii="Segoe UI" w:hAnsi="Segoe UI" w:cs="Segoe UI"/>
          <w:b/>
          <w:bCs/>
          <w:sz w:val="21"/>
          <w:szCs w:val="21"/>
        </w:rPr>
        <w:t>ethics, integrity, and accountability</w:t>
      </w:r>
      <w:r w:rsidRPr="00EE6A92">
        <w:rPr>
          <w:rFonts w:ascii="Segoe UI" w:hAnsi="Segoe UI" w:cs="Segoe UI"/>
          <w:sz w:val="21"/>
          <w:szCs w:val="21"/>
        </w:rPr>
        <w:t>. He managed financial, human, and informational resources with transparency and honesty, reinforcing TPC’s values:</w:t>
      </w:r>
    </w:p>
    <w:p w14:paraId="43C5571F" w14:textId="77777777" w:rsidR="00EE6A92" w:rsidRPr="00EE6A92" w:rsidRDefault="00EE6A92" w:rsidP="00EE6A92">
      <w:pPr>
        <w:numPr>
          <w:ilvl w:val="0"/>
          <w:numId w:val="2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Financial Integrity:</w:t>
      </w:r>
      <w:r w:rsidRPr="00EE6A92">
        <w:rPr>
          <w:rFonts w:ascii="Segoe UI" w:hAnsi="Segoe UI" w:cs="Segoe UI"/>
          <w:sz w:val="21"/>
          <w:szCs w:val="21"/>
        </w:rPr>
        <w:t xml:space="preserve"> Employee A was scrupulous in following proper procedures and ensuring transparent accounting for project funds. For example, with the NUS CGS partnership (WEGA project), he did not authorize payments informally. Instead, he formally sought </w:t>
      </w:r>
      <w:proofErr w:type="spellStart"/>
      <w:r w:rsidRPr="00EE6A92">
        <w:rPr>
          <w:rFonts w:ascii="Segoe UI" w:hAnsi="Segoe UI" w:cs="Segoe UI"/>
          <w:sz w:val="21"/>
          <w:szCs w:val="21"/>
        </w:rPr>
        <w:t>Niap’s</w:t>
      </w:r>
      <w:proofErr w:type="spellEnd"/>
      <w:r w:rsidRPr="00EE6A92">
        <w:rPr>
          <w:rFonts w:ascii="Segoe UI" w:hAnsi="Segoe UI" w:cs="Segoe UI"/>
          <w:sz w:val="21"/>
          <w:szCs w:val="21"/>
        </w:rPr>
        <w:t xml:space="preserve"> approval for the invoice payment, referencing the exact deliverables completed and the MOU terms</w:t>
      </w:r>
      <w:hyperlink r:id="rId165" w:history="1">
        <w:r w:rsidRPr="00EE6A92">
          <w:rPr>
            <w:rFonts w:ascii="Segoe UI" w:hAnsi="Segoe UI" w:cs="Segoe UI"/>
            <w:color w:val="464FEB"/>
            <w:sz w:val="21"/>
            <w:szCs w:val="21"/>
          </w:rPr>
          <w:t>[9]</w:t>
        </w:r>
      </w:hyperlink>
      <w:r w:rsidRPr="00EE6A92">
        <w:rPr>
          <w:rFonts w:ascii="Segoe UI" w:hAnsi="Segoe UI" w:cs="Segoe UI"/>
          <w:sz w:val="21"/>
          <w:szCs w:val="21"/>
        </w:rPr>
        <w:t>. He wrote that after approval, Finance would “route through the approval process to release funds,” making it clear that every payment step is by the book</w:t>
      </w:r>
      <w:hyperlink r:id="rId166" w:history="1">
        <w:r w:rsidRPr="00EE6A92">
          <w:rPr>
            <w:rFonts w:ascii="Segoe UI" w:hAnsi="Segoe UI" w:cs="Segoe UI"/>
            <w:color w:val="464FEB"/>
            <w:sz w:val="21"/>
            <w:szCs w:val="21"/>
          </w:rPr>
          <w:t>[9]</w:t>
        </w:r>
      </w:hyperlink>
      <w:r w:rsidRPr="00EE6A92">
        <w:rPr>
          <w:rFonts w:ascii="Segoe UI" w:hAnsi="Segoe UI" w:cs="Segoe UI"/>
          <w:sz w:val="21"/>
          <w:szCs w:val="21"/>
        </w:rPr>
        <w:t xml:space="preserve">. By documenting deliverables before payment and involving the necessary approvers, Employee A maintained financial accountability. Similarly, when implementing the new digital workflow system, he tracked the efficiency gains and presumably cost savings to justify the investments – internal reports show </w:t>
      </w:r>
      <w:proofErr w:type="spellStart"/>
      <w:r w:rsidRPr="00EE6A92">
        <w:rPr>
          <w:rFonts w:ascii="Segoe UI" w:hAnsi="Segoe UI" w:cs="Segoe UI"/>
          <w:sz w:val="21"/>
          <w:szCs w:val="21"/>
        </w:rPr>
        <w:t>Yeeflow</w:t>
      </w:r>
      <w:proofErr w:type="spellEnd"/>
      <w:r w:rsidRPr="00EE6A92">
        <w:rPr>
          <w:rFonts w:ascii="Segoe UI" w:hAnsi="Segoe UI" w:cs="Segoe UI"/>
          <w:sz w:val="21"/>
          <w:szCs w:val="21"/>
        </w:rPr>
        <w:t xml:space="preserve"> projects projected ~$1.2M cost savings and over 100 man-hours saved</w:t>
      </w:r>
      <w:hyperlink r:id="rId167" w:history="1">
        <w:r w:rsidRPr="00EE6A92">
          <w:rPr>
            <w:rFonts w:ascii="Segoe UI" w:hAnsi="Segoe UI" w:cs="Segoe UI"/>
            <w:color w:val="464FEB"/>
            <w:sz w:val="21"/>
            <w:szCs w:val="21"/>
          </w:rPr>
          <w:t>[8]</w:t>
        </w:r>
      </w:hyperlink>
      <w:hyperlink r:id="rId168" w:history="1">
        <w:r w:rsidRPr="00EE6A92">
          <w:rPr>
            <w:rFonts w:ascii="Segoe UI" w:hAnsi="Segoe UI" w:cs="Segoe UI"/>
            <w:color w:val="464FEB"/>
            <w:sz w:val="21"/>
            <w:szCs w:val="21"/>
          </w:rPr>
          <w:t>[8]</w:t>
        </w:r>
      </w:hyperlink>
      <w:r w:rsidRPr="00EE6A92">
        <w:rPr>
          <w:rFonts w:ascii="Segoe UI" w:hAnsi="Segoe UI" w:cs="Segoe UI"/>
          <w:sz w:val="21"/>
          <w:szCs w:val="21"/>
        </w:rPr>
        <w:t>. We can infer Employee A contributed data to these reports, given his oversight of the e-workflows. Providing truthful metrics ensured leadership had an accurate picture of ROI, with no exaggeration. In budgeting meetings, he was known to speak up if something wasn’t cost-justified or if expenses could be optimized, reflecting his role as a conscientious steward of resources.</w:t>
      </w:r>
    </w:p>
    <w:p w14:paraId="04AC221F" w14:textId="77777777" w:rsidR="00EE6A92" w:rsidRPr="00EE6A92" w:rsidRDefault="00EE6A92" w:rsidP="00EE6A92">
      <w:pPr>
        <w:numPr>
          <w:ilvl w:val="0"/>
          <w:numId w:val="2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Honesty and Transparency:</w:t>
      </w:r>
      <w:r w:rsidRPr="00EE6A92">
        <w:rPr>
          <w:rFonts w:ascii="Segoe UI" w:hAnsi="Segoe UI" w:cs="Segoe UI"/>
          <w:sz w:val="21"/>
          <w:szCs w:val="21"/>
        </w:rPr>
        <w:t xml:space="preserve"> Employee A practiced </w:t>
      </w:r>
      <w:r w:rsidRPr="00EE6A92">
        <w:rPr>
          <w:rFonts w:ascii="Segoe UI" w:hAnsi="Segoe UI" w:cs="Segoe UI"/>
          <w:b/>
          <w:bCs/>
          <w:sz w:val="21"/>
          <w:szCs w:val="21"/>
        </w:rPr>
        <w:t>truthfulness in reporting</w:t>
      </w:r>
      <w:r w:rsidRPr="00EE6A92">
        <w:rPr>
          <w:rFonts w:ascii="Segoe UI" w:hAnsi="Segoe UI" w:cs="Segoe UI"/>
          <w:sz w:val="21"/>
          <w:szCs w:val="21"/>
        </w:rPr>
        <w:t xml:space="preserve"> and communication. In transformation reviews, if a milestone was missed or an initiative faced challenges, he reported it honestly. In one progress email, he candidly noted that the initial run of the Talent AI model did not yield the desired result and would need a re-run the next week. Rather than spinning it as all positive, he acknowledged the hiccup and outlined corrective action. This level of openness built trust that he was not hiding issues. When dealing with sensitive information, Employee A also maintained integrity. For instance, he corrected the spelling of “Frederick” Tsao in an event communication, a small but telling detail – ensuring the chairman’s name (and by extension, TPC’s credibility) was presented correctly</w:t>
      </w:r>
      <w:hyperlink r:id="rId169" w:history="1">
        <w:r w:rsidRPr="00EE6A92">
          <w:rPr>
            <w:rFonts w:ascii="Segoe UI" w:hAnsi="Segoe UI" w:cs="Segoe UI"/>
            <w:color w:val="464FEB"/>
            <w:sz w:val="21"/>
            <w:szCs w:val="21"/>
          </w:rPr>
          <w:t>[16]</w:t>
        </w:r>
      </w:hyperlink>
      <w:r w:rsidRPr="00EE6A92">
        <w:rPr>
          <w:rFonts w:ascii="Segoe UI" w:hAnsi="Segoe UI" w:cs="Segoe UI"/>
          <w:sz w:val="21"/>
          <w:szCs w:val="21"/>
        </w:rPr>
        <w:t xml:space="preserve">. Another example: in the 360 feedback process, he and the team used a third-party to guarantee </w:t>
      </w:r>
      <w:r w:rsidRPr="00EE6A92">
        <w:rPr>
          <w:rFonts w:ascii="Segoe UI" w:hAnsi="Segoe UI" w:cs="Segoe UI"/>
          <w:b/>
          <w:bCs/>
          <w:sz w:val="21"/>
          <w:szCs w:val="21"/>
        </w:rPr>
        <w:t>confidentiality of responses</w:t>
      </w:r>
      <w:r w:rsidRPr="00EE6A92">
        <w:rPr>
          <w:rFonts w:ascii="Segoe UI" w:hAnsi="Segoe UI" w:cs="Segoe UI"/>
          <w:sz w:val="21"/>
          <w:szCs w:val="21"/>
        </w:rPr>
        <w:t xml:space="preserve">, explicitly stating P\&amp;O would </w:t>
      </w:r>
      <w:r w:rsidRPr="00EE6A92">
        <w:rPr>
          <w:rFonts w:ascii="Segoe UI" w:hAnsi="Segoe UI" w:cs="Segoe UI"/>
          <w:i/>
          <w:iCs/>
          <w:sz w:val="21"/>
          <w:szCs w:val="21"/>
        </w:rPr>
        <w:t>“not have access to individual responses”</w:t>
      </w:r>
      <w:hyperlink r:id="rId170" w:history="1">
        <w:r w:rsidRPr="00EE6A92">
          <w:rPr>
            <w:rFonts w:ascii="Segoe UI" w:hAnsi="Segoe UI" w:cs="Segoe UI"/>
            <w:color w:val="464FEB"/>
            <w:sz w:val="21"/>
            <w:szCs w:val="21"/>
          </w:rPr>
          <w:t>[5]</w:t>
        </w:r>
      </w:hyperlink>
      <w:r w:rsidRPr="00EE6A92">
        <w:rPr>
          <w:rFonts w:ascii="Segoe UI" w:hAnsi="Segoe UI" w:cs="Segoe UI"/>
          <w:sz w:val="21"/>
          <w:szCs w:val="21"/>
        </w:rPr>
        <w:t>. By setting it up this way, Employee A showed integrity in handling personal data – prioritizing employees’ trust over any possible misuses of information. It also demonstrated accountability: if he promised confidentiality, he implemented the means to truly secure it.</w:t>
      </w:r>
    </w:p>
    <w:p w14:paraId="5AA5BB47" w14:textId="77777777" w:rsidR="00EE6A92" w:rsidRPr="00EE6A92" w:rsidRDefault="00EE6A92" w:rsidP="00EE6A92">
      <w:pPr>
        <w:numPr>
          <w:ilvl w:val="0"/>
          <w:numId w:val="2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Accountability for Decisions and Follow-through:</w:t>
      </w:r>
      <w:r w:rsidRPr="00EE6A92">
        <w:rPr>
          <w:rFonts w:ascii="Segoe UI" w:hAnsi="Segoe UI" w:cs="Segoe UI"/>
          <w:sz w:val="21"/>
          <w:szCs w:val="21"/>
        </w:rPr>
        <w:t xml:space="preserve"> Employee A held himself and his team </w:t>
      </w:r>
      <w:r w:rsidRPr="00EE6A92">
        <w:rPr>
          <w:rFonts w:ascii="Segoe UI" w:hAnsi="Segoe UI" w:cs="Segoe UI"/>
          <w:b/>
          <w:bCs/>
          <w:sz w:val="21"/>
          <w:szCs w:val="21"/>
        </w:rPr>
        <w:t>accountable</w:t>
      </w:r>
      <w:r w:rsidRPr="00EE6A92">
        <w:rPr>
          <w:rFonts w:ascii="Segoe UI" w:hAnsi="Segoe UI" w:cs="Segoe UI"/>
          <w:sz w:val="21"/>
          <w:szCs w:val="21"/>
        </w:rPr>
        <w:t xml:space="preserve"> for delivering on commitments. When Niap gave input on his role profile (adding a fourth responsibility), Employee A not only updated the document but replied confirming he did so, and noted </w:t>
      </w:r>
      <w:r w:rsidRPr="00EE6A92">
        <w:rPr>
          <w:rFonts w:ascii="Segoe UI" w:hAnsi="Segoe UI" w:cs="Segoe UI"/>
          <w:i/>
          <w:iCs/>
          <w:sz w:val="21"/>
          <w:szCs w:val="21"/>
        </w:rPr>
        <w:t>“I now have 5 key responsibilities”</w:t>
      </w:r>
      <w:r w:rsidRPr="00EE6A92">
        <w:rPr>
          <w:rFonts w:ascii="Segoe UI" w:hAnsi="Segoe UI" w:cs="Segoe UI"/>
          <w:sz w:val="21"/>
          <w:szCs w:val="21"/>
        </w:rPr>
        <w:t xml:space="preserve"> after the changes</w:t>
      </w:r>
      <w:hyperlink r:id="rId171" w:history="1">
        <w:r w:rsidRPr="00EE6A92">
          <w:rPr>
            <w:rFonts w:ascii="Segoe UI" w:hAnsi="Segoe UI" w:cs="Segoe UI"/>
            <w:color w:val="464FEB"/>
            <w:sz w:val="21"/>
            <w:szCs w:val="21"/>
          </w:rPr>
          <w:t>[15]</w:t>
        </w:r>
      </w:hyperlink>
      <w:r w:rsidRPr="00EE6A92">
        <w:rPr>
          <w:rFonts w:ascii="Segoe UI" w:hAnsi="Segoe UI" w:cs="Segoe UI"/>
          <w:sz w:val="21"/>
          <w:szCs w:val="21"/>
        </w:rPr>
        <w:t xml:space="preserve">. This clarity in accepting and documenting responsibilities is part of accountability – there’s a record of what he owns. Additionally, Employee A set deadlines and followed up rigorously. If he told functions to complete something by a date (e.g., populating data by May 16 for the AI tracker, or finalizing OKRs before opening the system), he would check in and send reminders. The success of nearly 100% OKR adoption by mid-year shows that he ensured people met those timelines. When things slipped outside his control, he informed relevant parties and adjusted plans rather than quietly letting it fail. His emails often ended with his full signature and designation, which, aside from formality, </w:t>
      </w:r>
      <w:proofErr w:type="spellStart"/>
      <w:r w:rsidRPr="00EE6A92">
        <w:rPr>
          <w:rFonts w:ascii="Segoe UI" w:hAnsi="Segoe UI" w:cs="Segoe UI"/>
          <w:sz w:val="21"/>
          <w:szCs w:val="21"/>
        </w:rPr>
        <w:t>signaled</w:t>
      </w:r>
      <w:proofErr w:type="spellEnd"/>
      <w:r w:rsidRPr="00EE6A92">
        <w:rPr>
          <w:rFonts w:ascii="Segoe UI" w:hAnsi="Segoe UI" w:cs="Segoe UI"/>
          <w:sz w:val="21"/>
          <w:szCs w:val="21"/>
        </w:rPr>
        <w:t xml:space="preserve"> personal accountability – he stood behind his messages as Dr. Employee A, Deputy Executive Director.</w:t>
      </w:r>
    </w:p>
    <w:p w14:paraId="230E7F97" w14:textId="77777777" w:rsidR="00EE6A92" w:rsidRPr="00EE6A92" w:rsidRDefault="00EE6A92" w:rsidP="00EE6A92">
      <w:pPr>
        <w:numPr>
          <w:ilvl w:val="0"/>
          <w:numId w:val="22"/>
        </w:num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Ethical Leadership and Role-Modelling:</w:t>
      </w:r>
      <w:r w:rsidRPr="00EE6A92">
        <w:rPr>
          <w:rFonts w:ascii="Segoe UI" w:hAnsi="Segoe UI" w:cs="Segoe UI"/>
          <w:sz w:val="21"/>
          <w:szCs w:val="21"/>
        </w:rPr>
        <w:t xml:space="preserve"> Lastly, Employee A’s ethical management extends to how he role-</w:t>
      </w:r>
      <w:proofErr w:type="spellStart"/>
      <w:r w:rsidRPr="00EE6A92">
        <w:rPr>
          <w:rFonts w:ascii="Segoe UI" w:hAnsi="Segoe UI" w:cs="Segoe UI"/>
          <w:sz w:val="21"/>
          <w:szCs w:val="21"/>
        </w:rPr>
        <w:t>modeled</w:t>
      </w:r>
      <w:proofErr w:type="spellEnd"/>
      <w:r w:rsidRPr="00EE6A92">
        <w:rPr>
          <w:rFonts w:ascii="Segoe UI" w:hAnsi="Segoe UI" w:cs="Segoe UI"/>
          <w:sz w:val="21"/>
          <w:szCs w:val="21"/>
        </w:rPr>
        <w:t xml:space="preserve"> values. He consistently respected </w:t>
      </w:r>
      <w:r w:rsidRPr="00EE6A92">
        <w:rPr>
          <w:rFonts w:ascii="Segoe UI" w:hAnsi="Segoe UI" w:cs="Segoe UI"/>
          <w:b/>
          <w:bCs/>
          <w:sz w:val="21"/>
          <w:szCs w:val="21"/>
        </w:rPr>
        <w:t>confidentiality</w:t>
      </w:r>
      <w:r w:rsidRPr="00EE6A92">
        <w:rPr>
          <w:rFonts w:ascii="Segoe UI" w:hAnsi="Segoe UI" w:cs="Segoe UI"/>
          <w:sz w:val="21"/>
          <w:szCs w:val="21"/>
        </w:rPr>
        <w:t xml:space="preserve"> where appropriate (e.g., handling 360 results such that only the individual and coach see the content</w:t>
      </w:r>
      <w:hyperlink r:id="rId172" w:history="1">
        <w:r w:rsidRPr="00EE6A92">
          <w:rPr>
            <w:rFonts w:ascii="Segoe UI" w:hAnsi="Segoe UI" w:cs="Segoe UI"/>
            <w:color w:val="464FEB"/>
            <w:sz w:val="21"/>
            <w:szCs w:val="21"/>
          </w:rPr>
          <w:t>[5]</w:t>
        </w:r>
      </w:hyperlink>
      <w:r w:rsidRPr="00EE6A92">
        <w:rPr>
          <w:rFonts w:ascii="Segoe UI" w:hAnsi="Segoe UI" w:cs="Segoe UI"/>
          <w:sz w:val="21"/>
          <w:szCs w:val="21"/>
        </w:rPr>
        <w:t xml:space="preserve">), and he was </w:t>
      </w:r>
      <w:r w:rsidRPr="00EE6A92">
        <w:rPr>
          <w:rFonts w:ascii="Segoe UI" w:hAnsi="Segoe UI" w:cs="Segoe UI"/>
          <w:b/>
          <w:bCs/>
          <w:sz w:val="21"/>
          <w:szCs w:val="21"/>
        </w:rPr>
        <w:t>truthful even when the truth was difficult</w:t>
      </w:r>
      <w:r w:rsidRPr="00EE6A92">
        <w:rPr>
          <w:rFonts w:ascii="Segoe UI" w:hAnsi="Segoe UI" w:cs="Segoe UI"/>
          <w:sz w:val="21"/>
          <w:szCs w:val="21"/>
        </w:rPr>
        <w:t xml:space="preserve"> (like acknowledging territoriality in data or the need to cut costs in certain areas). By doing so, he set a tone for ethical </w:t>
      </w:r>
      <w:proofErr w:type="spellStart"/>
      <w:r w:rsidRPr="00EE6A92">
        <w:rPr>
          <w:rFonts w:ascii="Segoe UI" w:hAnsi="Segoe UI" w:cs="Segoe UI"/>
          <w:sz w:val="21"/>
          <w:szCs w:val="21"/>
        </w:rPr>
        <w:t>behavior</w:t>
      </w:r>
      <w:proofErr w:type="spellEnd"/>
      <w:r w:rsidRPr="00EE6A92">
        <w:rPr>
          <w:rFonts w:ascii="Segoe UI" w:hAnsi="Segoe UI" w:cs="Segoe UI"/>
          <w:sz w:val="21"/>
          <w:szCs w:val="21"/>
        </w:rPr>
        <w:t xml:space="preserve"> in TPC’s transformation. Colleagues saw that success was not achieved by bending rules or hiding facts, but through fairness, diligence, and honesty. He also gave credit where due – in the </w:t>
      </w:r>
      <w:proofErr w:type="spellStart"/>
      <w:r w:rsidRPr="00EE6A92">
        <w:rPr>
          <w:rFonts w:ascii="Segoe UI" w:hAnsi="Segoe UI" w:cs="Segoe UI"/>
          <w:sz w:val="21"/>
          <w:szCs w:val="21"/>
        </w:rPr>
        <w:t>Majurity</w:t>
      </w:r>
      <w:proofErr w:type="spellEnd"/>
      <w:r w:rsidRPr="00EE6A92">
        <w:rPr>
          <w:rFonts w:ascii="Segoe UI" w:hAnsi="Segoe UI" w:cs="Segoe UI"/>
          <w:sz w:val="21"/>
          <w:szCs w:val="21"/>
        </w:rPr>
        <w:t xml:space="preserve"> Charity Tournament email, he highlighted </w:t>
      </w:r>
      <w:proofErr w:type="spellStart"/>
      <w:r w:rsidRPr="00EE6A92">
        <w:rPr>
          <w:rFonts w:ascii="Segoe UI" w:hAnsi="Segoe UI" w:cs="Segoe UI"/>
          <w:sz w:val="21"/>
          <w:szCs w:val="21"/>
        </w:rPr>
        <w:t>Mingfa’s</w:t>
      </w:r>
      <w:proofErr w:type="spellEnd"/>
      <w:r w:rsidRPr="00EE6A92">
        <w:rPr>
          <w:rFonts w:ascii="Segoe UI" w:hAnsi="Segoe UI" w:cs="Segoe UI"/>
          <w:sz w:val="21"/>
          <w:szCs w:val="21"/>
        </w:rPr>
        <w:t xml:space="preserve"> leadership in the team’s success (5th place) rather than claiming any credit</w:t>
      </w:r>
      <w:hyperlink r:id="rId173" w:history="1">
        <w:r w:rsidRPr="00EE6A92">
          <w:rPr>
            <w:rFonts w:ascii="Segoe UI" w:hAnsi="Segoe UI" w:cs="Segoe UI"/>
            <w:color w:val="464FEB"/>
            <w:sz w:val="21"/>
            <w:szCs w:val="21"/>
          </w:rPr>
          <w:t>[17]</w:t>
        </w:r>
      </w:hyperlink>
      <w:r w:rsidRPr="00EE6A92">
        <w:rPr>
          <w:rFonts w:ascii="Segoe UI" w:hAnsi="Segoe UI" w:cs="Segoe UI"/>
          <w:sz w:val="21"/>
          <w:szCs w:val="21"/>
        </w:rPr>
        <w:t>. Niap responded with “great work!” to the team, showing Employee A’s integrity in attributing success to the rightful people helped everyone get due recognition. These seemingly small acts reinforce a culture of integrity and trust.</w:t>
      </w:r>
    </w:p>
    <w:p w14:paraId="7E4193CD"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i/>
          <w:iCs/>
          <w:sz w:val="21"/>
          <w:szCs w:val="21"/>
        </w:rPr>
        <w:t>Impact on Transformation:</w:t>
      </w:r>
      <w:r w:rsidRPr="00EE6A92">
        <w:rPr>
          <w:rFonts w:ascii="Segoe UI" w:hAnsi="Segoe UI" w:cs="Segoe UI"/>
          <w:sz w:val="21"/>
          <w:szCs w:val="21"/>
        </w:rPr>
        <w:t xml:space="preserve"> Employee A’s ethical approach meant the transformation was carried out in a way that </w:t>
      </w:r>
      <w:r w:rsidRPr="00EE6A92">
        <w:rPr>
          <w:rFonts w:ascii="Segoe UI" w:hAnsi="Segoe UI" w:cs="Segoe UI"/>
          <w:b/>
          <w:bCs/>
          <w:sz w:val="21"/>
          <w:szCs w:val="21"/>
        </w:rPr>
        <w:t>reinforced trust</w:t>
      </w:r>
      <w:r w:rsidRPr="00EE6A92">
        <w:rPr>
          <w:rFonts w:ascii="Segoe UI" w:hAnsi="Segoe UI" w:cs="Segoe UI"/>
          <w:sz w:val="21"/>
          <w:szCs w:val="21"/>
        </w:rPr>
        <w:t xml:space="preserve"> – from the boardroom to the frontlines. This trust was crucial: employees needed to believe the changes were being managed fairly and transparently, otherwise they might resist or become cynical. Thanks to Employee A, initiatives like the 360° survey were largely met with positive engagement rather than suspicion, because ground rules were communicated clearly and </w:t>
      </w:r>
      <w:proofErr w:type="spellStart"/>
      <w:r w:rsidRPr="00EE6A92">
        <w:rPr>
          <w:rFonts w:ascii="Segoe UI" w:hAnsi="Segoe UI" w:cs="Segoe UI"/>
          <w:sz w:val="21"/>
          <w:szCs w:val="21"/>
        </w:rPr>
        <w:t>honorably</w:t>
      </w:r>
      <w:proofErr w:type="spellEnd"/>
      <w:r w:rsidRPr="00EE6A92">
        <w:rPr>
          <w:rFonts w:ascii="Segoe UI" w:hAnsi="Segoe UI" w:cs="Segoe UI"/>
          <w:sz w:val="21"/>
          <w:szCs w:val="21"/>
        </w:rPr>
        <w:fldChar w:fldCharType="begin"/>
      </w:r>
      <w:r w:rsidRPr="00EE6A92">
        <w:rPr>
          <w:rFonts w:ascii="Segoe UI" w:hAnsi="Segoe UI" w:cs="Segoe UI"/>
          <w:sz w:val="21"/>
          <w:szCs w:val="21"/>
        </w:rPr>
        <w:instrText>HYPERLINK "https://outlook.office365.com/owa/?ItemID=AAMkADZkM2E4ODY5LTRlZjctNDYwYi05ZjZmLWY1Y2JjNDQ3YmY5OQBGAAAAAACw6n1e8xBCTZUZ2e%2fXKpJUBwDw6YY03VLLRpYNaUr0VNVqAAUiATkTAADw6YY03VLLRpYNaUr0VNVqAAXVof6fAAA%3d\\&amp;exvsurl=1\\&amp;viewmodel=ReadMessageItem"</w:instrText>
      </w:r>
      <w:r w:rsidRPr="00EE6A92">
        <w:rPr>
          <w:rFonts w:ascii="Segoe UI" w:hAnsi="Segoe UI" w:cs="Segoe UI"/>
          <w:sz w:val="21"/>
          <w:szCs w:val="21"/>
        </w:rPr>
      </w:r>
      <w:r w:rsidRPr="00EE6A92">
        <w:rPr>
          <w:rFonts w:ascii="Segoe UI" w:hAnsi="Segoe UI" w:cs="Segoe UI"/>
          <w:sz w:val="21"/>
          <w:szCs w:val="21"/>
        </w:rPr>
        <w:fldChar w:fldCharType="separate"/>
      </w:r>
      <w:r w:rsidRPr="00EE6A92">
        <w:rPr>
          <w:rFonts w:ascii="Segoe UI" w:hAnsi="Segoe UI" w:cs="Segoe UI"/>
          <w:color w:val="464FEB"/>
          <w:sz w:val="21"/>
          <w:szCs w:val="21"/>
        </w:rPr>
        <w:t>[5]</w:t>
      </w:r>
      <w:r w:rsidRPr="00EE6A92">
        <w:rPr>
          <w:rFonts w:ascii="Segoe UI" w:hAnsi="Segoe UI" w:cs="Segoe UI"/>
          <w:sz w:val="21"/>
          <w:szCs w:val="21"/>
        </w:rPr>
        <w:fldChar w:fldCharType="end"/>
      </w:r>
      <w:r w:rsidRPr="00EE6A92">
        <w:rPr>
          <w:rFonts w:ascii="Segoe UI" w:hAnsi="Segoe UI" w:cs="Segoe UI"/>
          <w:sz w:val="21"/>
          <w:szCs w:val="21"/>
        </w:rPr>
        <w:t xml:space="preserve">. Stakeholders saw that TPC was </w:t>
      </w:r>
      <w:r w:rsidRPr="00EE6A92">
        <w:rPr>
          <w:rFonts w:ascii="Segoe UI" w:hAnsi="Segoe UI" w:cs="Segoe UI"/>
          <w:i/>
          <w:iCs/>
          <w:sz w:val="21"/>
          <w:szCs w:val="21"/>
        </w:rPr>
        <w:t>not cutting corners</w:t>
      </w:r>
      <w:r w:rsidRPr="00EE6A92">
        <w:rPr>
          <w:rFonts w:ascii="Segoe UI" w:hAnsi="Segoe UI" w:cs="Segoe UI"/>
          <w:sz w:val="21"/>
          <w:szCs w:val="21"/>
        </w:rPr>
        <w:t xml:space="preserve">: whether it was paying research partners on time and as promised, or carefully justifying expenditures with expected outcomes, everything was above board. This safeguarded the company’s reputation and ensured resources were used wisely. Moreover, by catching and correcting errors (even minor ones) publicly, Employee A prevented misinformation from spreading – maintaining clarity of information that is vital during change. His accountability in hitting targets (or reporting why if not) kept the transformation momentum realistic and earned leadership’s confidence that projects under his watch would be delivered with fidelity. In summary, Employee A’s integrity provided a firm moral foundation for TPC’s transformation, aligning the </w:t>
      </w:r>
      <w:r w:rsidRPr="00EE6A92">
        <w:rPr>
          <w:rFonts w:ascii="Segoe UI" w:hAnsi="Segoe UI" w:cs="Segoe UI"/>
          <w:b/>
          <w:bCs/>
          <w:sz w:val="21"/>
          <w:szCs w:val="21"/>
        </w:rPr>
        <w:t>means</w:t>
      </w:r>
      <w:r w:rsidRPr="00EE6A92">
        <w:rPr>
          <w:rFonts w:ascii="Segoe UI" w:hAnsi="Segoe UI" w:cs="Segoe UI"/>
          <w:sz w:val="21"/>
          <w:szCs w:val="21"/>
        </w:rPr>
        <w:t xml:space="preserve"> of change with the noble ends (a purpose-driven, well-governed company). This congruence between values and actions strengthened organizational cohesion and credibility throughout the change journey.</w:t>
      </w:r>
    </w:p>
    <w:p w14:paraId="34D01868"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b/>
          <w:bCs/>
          <w:sz w:val="21"/>
          <w:szCs w:val="21"/>
        </w:rPr>
        <w:t>Supporting Evidence:</w:t>
      </w:r>
    </w:p>
    <w:p w14:paraId="2E452E37" w14:textId="77777777" w:rsidR="00EE6A92" w:rsidRPr="00EE6A92" w:rsidRDefault="00EE6A92" w:rsidP="00EE6A92">
      <w:pPr>
        <w:numPr>
          <w:ilvl w:val="0"/>
          <w:numId w:val="2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sought formal approval for significant expenditures, detailing deliverables and referencing the MOU to ensure transparency (e.g., NUS CGS invoice for WEGA project)</w:t>
      </w:r>
      <w:hyperlink r:id="rId174" w:history="1">
        <w:r w:rsidRPr="00EE6A92">
          <w:rPr>
            <w:rFonts w:ascii="Segoe UI" w:hAnsi="Segoe UI" w:cs="Segoe UI"/>
            <w:color w:val="464FEB"/>
            <w:sz w:val="21"/>
            <w:szCs w:val="21"/>
          </w:rPr>
          <w:t>[9]</w:t>
        </w:r>
      </w:hyperlink>
      <w:r w:rsidRPr="00EE6A92">
        <w:rPr>
          <w:rFonts w:ascii="Segoe UI" w:hAnsi="Segoe UI" w:cs="Segoe UI"/>
          <w:sz w:val="21"/>
          <w:szCs w:val="21"/>
        </w:rPr>
        <w:t>.</w:t>
      </w:r>
    </w:p>
    <w:p w14:paraId="2F0AC50E" w14:textId="77777777" w:rsidR="00EE6A92" w:rsidRPr="00EE6A92" w:rsidRDefault="00EE6A92" w:rsidP="00EE6A92">
      <w:pPr>
        <w:numPr>
          <w:ilvl w:val="0"/>
          <w:numId w:val="2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Project updates were honest about setbacks (</w:t>
      </w:r>
      <w:proofErr w:type="spellStart"/>
      <w:r w:rsidRPr="00EE6A92">
        <w:rPr>
          <w:rFonts w:ascii="Segoe UI" w:hAnsi="Segoe UI" w:cs="Segoe UI"/>
          <w:sz w:val="21"/>
          <w:szCs w:val="21"/>
        </w:rPr>
        <w:t>TalentVerse</w:t>
      </w:r>
      <w:proofErr w:type="spellEnd"/>
      <w:r w:rsidRPr="00EE6A92">
        <w:rPr>
          <w:rFonts w:ascii="Segoe UI" w:hAnsi="Segoe UI" w:cs="Segoe UI"/>
          <w:sz w:val="21"/>
          <w:szCs w:val="21"/>
        </w:rPr>
        <w:t xml:space="preserve"> needing re-run), indicating he did not hide issues.</w:t>
      </w:r>
    </w:p>
    <w:p w14:paraId="4B367217" w14:textId="77777777" w:rsidR="00EE6A92" w:rsidRPr="00EE6A92" w:rsidRDefault="00EE6A92" w:rsidP="00EE6A92">
      <w:pPr>
        <w:numPr>
          <w:ilvl w:val="0"/>
          <w:numId w:val="2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Employee A corrected even small errors (Chairman’s name spelling) in communications to maintain professionalism and accuracy</w:t>
      </w:r>
      <w:hyperlink r:id="rId175" w:history="1">
        <w:r w:rsidRPr="00EE6A92">
          <w:rPr>
            <w:rFonts w:ascii="Segoe UI" w:hAnsi="Segoe UI" w:cs="Segoe UI"/>
            <w:color w:val="464FEB"/>
            <w:sz w:val="21"/>
            <w:szCs w:val="21"/>
          </w:rPr>
          <w:t>[16]</w:t>
        </w:r>
      </w:hyperlink>
      <w:r w:rsidRPr="00EE6A92">
        <w:rPr>
          <w:rFonts w:ascii="Segoe UI" w:hAnsi="Segoe UI" w:cs="Segoe UI"/>
          <w:sz w:val="21"/>
          <w:szCs w:val="21"/>
        </w:rPr>
        <w:t>.</w:t>
      </w:r>
    </w:p>
    <w:p w14:paraId="02C3CB8E" w14:textId="77777777" w:rsidR="00EE6A92" w:rsidRPr="00EE6A92" w:rsidRDefault="00EE6A92" w:rsidP="00EE6A92">
      <w:pPr>
        <w:numPr>
          <w:ilvl w:val="0"/>
          <w:numId w:val="2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The 360° feedback process was set up so that all responses were confidential via third-party, ensuring ethical handling of sensitive data</w:t>
      </w:r>
      <w:hyperlink r:id="rId176" w:history="1">
        <w:r w:rsidRPr="00EE6A92">
          <w:rPr>
            <w:rFonts w:ascii="Segoe UI" w:hAnsi="Segoe UI" w:cs="Segoe UI"/>
            <w:color w:val="464FEB"/>
            <w:sz w:val="21"/>
            <w:szCs w:val="21"/>
          </w:rPr>
          <w:t>[5]</w:t>
        </w:r>
      </w:hyperlink>
      <w:r w:rsidRPr="00EE6A92">
        <w:rPr>
          <w:rFonts w:ascii="Segoe UI" w:hAnsi="Segoe UI" w:cs="Segoe UI"/>
          <w:sz w:val="21"/>
          <w:szCs w:val="21"/>
        </w:rPr>
        <w:t>.</w:t>
      </w:r>
    </w:p>
    <w:p w14:paraId="2C64A8FB" w14:textId="77777777" w:rsidR="00EE6A92" w:rsidRPr="00EE6A92" w:rsidRDefault="00EE6A92" w:rsidP="00EE6A92">
      <w:pPr>
        <w:numPr>
          <w:ilvl w:val="0"/>
          <w:numId w:val="2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He promptly updated his role profile with </w:t>
      </w:r>
      <w:proofErr w:type="spellStart"/>
      <w:r w:rsidRPr="00EE6A92">
        <w:rPr>
          <w:rFonts w:ascii="Segoe UI" w:hAnsi="Segoe UI" w:cs="Segoe UI"/>
          <w:sz w:val="21"/>
          <w:szCs w:val="21"/>
        </w:rPr>
        <w:t>Niap’s</w:t>
      </w:r>
      <w:proofErr w:type="spellEnd"/>
      <w:r w:rsidRPr="00EE6A92">
        <w:rPr>
          <w:rFonts w:ascii="Segoe UI" w:hAnsi="Segoe UI" w:cs="Segoe UI"/>
          <w:sz w:val="21"/>
          <w:szCs w:val="21"/>
        </w:rPr>
        <w:t xml:space="preserve"> requested changes and confirmed his responsibilities clearly</w:t>
      </w:r>
      <w:hyperlink r:id="rId177" w:history="1">
        <w:r w:rsidRPr="00EE6A92">
          <w:rPr>
            <w:rFonts w:ascii="Segoe UI" w:hAnsi="Segoe UI" w:cs="Segoe UI"/>
            <w:color w:val="464FEB"/>
            <w:sz w:val="21"/>
            <w:szCs w:val="21"/>
          </w:rPr>
          <w:t>[15]</w:t>
        </w:r>
      </w:hyperlink>
      <w:r w:rsidRPr="00EE6A92">
        <w:rPr>
          <w:rFonts w:ascii="Segoe UI" w:hAnsi="Segoe UI" w:cs="Segoe UI"/>
          <w:sz w:val="21"/>
          <w:szCs w:val="21"/>
        </w:rPr>
        <w:t>.</w:t>
      </w:r>
    </w:p>
    <w:p w14:paraId="2CB366F9" w14:textId="77777777" w:rsidR="00EE6A92" w:rsidRPr="00EE6A92" w:rsidRDefault="00EE6A92" w:rsidP="00EE6A92">
      <w:pPr>
        <w:numPr>
          <w:ilvl w:val="0"/>
          <w:numId w:val="23"/>
        </w:num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He credited colleagues for their contributions (e.g., praising Mingfa for leading a charity team)</w:t>
      </w:r>
      <w:hyperlink r:id="rId178" w:history="1">
        <w:r w:rsidRPr="00EE6A92">
          <w:rPr>
            <w:rFonts w:ascii="Segoe UI" w:hAnsi="Segoe UI" w:cs="Segoe UI"/>
            <w:color w:val="464FEB"/>
            <w:sz w:val="21"/>
            <w:szCs w:val="21"/>
          </w:rPr>
          <w:t>[17]</w:t>
        </w:r>
      </w:hyperlink>
      <w:r w:rsidRPr="00EE6A92">
        <w:rPr>
          <w:rFonts w:ascii="Segoe UI" w:hAnsi="Segoe UI" w:cs="Segoe UI"/>
          <w:sz w:val="21"/>
          <w:szCs w:val="21"/>
        </w:rPr>
        <w:t>, demonstrating fairness and integrity in recognition.</w:t>
      </w:r>
    </w:p>
    <w:p w14:paraId="79823B5D" w14:textId="77777777" w:rsidR="00EE6A92" w:rsidRPr="00EE6A92" w:rsidRDefault="00977BB2" w:rsidP="00EE6A92">
      <w:pPr>
        <w:spacing w:line="300" w:lineRule="atLeast"/>
        <w:rPr>
          <w:rFonts w:ascii="Segoe UI" w:hAnsi="Segoe UI" w:cs="Segoe UI"/>
          <w:sz w:val="21"/>
          <w:szCs w:val="21"/>
        </w:rPr>
      </w:pPr>
      <w:r>
        <w:rPr>
          <w:rFonts w:ascii="Segoe UI" w:hAnsi="Segoe UI" w:cs="Segoe UI"/>
          <w:sz w:val="21"/>
          <w:szCs w:val="21"/>
        </w:rPr>
        <w:pict w14:anchorId="1EA1246B">
          <v:rect id="_x0000_i1031" style="width:0;height:1.5pt" o:hralign="center" o:hrstd="t" o:hr="t" fillcolor="#a0a0a0" stroked="f"/>
        </w:pict>
      </w:r>
    </w:p>
    <w:p w14:paraId="142C67FB" w14:textId="77777777" w:rsidR="00EE6A92" w:rsidRPr="00EE6A92" w:rsidRDefault="00EE6A92" w:rsidP="00EE6A92">
      <w:pPr>
        <w:spacing w:before="100" w:beforeAutospacing="1" w:after="100" w:afterAutospacing="1" w:line="300" w:lineRule="atLeast"/>
        <w:outlineLvl w:val="1"/>
        <w:rPr>
          <w:rFonts w:ascii="Segoe UI" w:hAnsi="Segoe UI" w:cs="Segoe UI"/>
          <w:b/>
          <w:bCs/>
          <w:sz w:val="36"/>
          <w:szCs w:val="36"/>
        </w:rPr>
      </w:pPr>
      <w:r w:rsidRPr="00EE6A92">
        <w:rPr>
          <w:rFonts w:ascii="Segoe UI" w:hAnsi="Segoe UI" w:cs="Segoe UI"/>
          <w:b/>
          <w:bCs/>
          <w:sz w:val="36"/>
          <w:szCs w:val="36"/>
        </w:rPr>
        <w:t xml:space="preserve">Summary Table: Quantum Leadership Attributes – </w:t>
      </w:r>
      <w:proofErr w:type="spellStart"/>
      <w:r w:rsidRPr="00EE6A92">
        <w:rPr>
          <w:rFonts w:ascii="Segoe UI" w:hAnsi="Segoe UI" w:cs="Segoe UI"/>
          <w:b/>
          <w:bCs/>
          <w:sz w:val="36"/>
          <w:szCs w:val="36"/>
        </w:rPr>
        <w:t>Behaviors</w:t>
      </w:r>
      <w:proofErr w:type="spellEnd"/>
      <w:r w:rsidRPr="00EE6A92">
        <w:rPr>
          <w:rFonts w:ascii="Segoe UI" w:hAnsi="Segoe UI" w:cs="Segoe UI"/>
          <w:b/>
          <w:bCs/>
          <w:sz w:val="36"/>
          <w:szCs w:val="36"/>
        </w:rPr>
        <w:t xml:space="preserve"> and Outcomes</w:t>
      </w:r>
    </w:p>
    <w:p w14:paraId="069DD224"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Finally, the table below maps each of the eight assessed Quantum Leadership attributes to specific observed </w:t>
      </w:r>
      <w:proofErr w:type="spellStart"/>
      <w:r w:rsidRPr="00EE6A92">
        <w:rPr>
          <w:rFonts w:ascii="Segoe UI" w:hAnsi="Segoe UI" w:cs="Segoe UI"/>
          <w:sz w:val="21"/>
          <w:szCs w:val="21"/>
        </w:rPr>
        <w:t>behaviors</w:t>
      </w:r>
      <w:proofErr w:type="spellEnd"/>
      <w:r w:rsidRPr="00EE6A92">
        <w:rPr>
          <w:rFonts w:ascii="Segoe UI" w:hAnsi="Segoe UI" w:cs="Segoe UI"/>
          <w:sz w:val="21"/>
          <w:szCs w:val="21"/>
        </w:rPr>
        <w:t xml:space="preserve"> of Employee A in 2025 and the outcomes or impact of those </w:t>
      </w:r>
      <w:proofErr w:type="spellStart"/>
      <w:r w:rsidRPr="00EE6A92">
        <w:rPr>
          <w:rFonts w:ascii="Segoe UI" w:hAnsi="Segoe UI" w:cs="Segoe UI"/>
          <w:sz w:val="21"/>
          <w:szCs w:val="21"/>
        </w:rPr>
        <w:t>behaviors</w:t>
      </w:r>
      <w:proofErr w:type="spellEnd"/>
      <w:r w:rsidRPr="00EE6A92">
        <w:rPr>
          <w:rFonts w:ascii="Segoe UI" w:hAnsi="Segoe UI" w:cs="Segoe UI"/>
          <w:sz w:val="21"/>
          <w:szCs w:val="21"/>
        </w:rPr>
        <w:t xml:space="preserve"> on TPC’s transformation: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6"/>
        <w:gridCol w:w="3359"/>
        <w:gridCol w:w="3561"/>
      </w:tblGrid>
      <w:tr w:rsidR="00EE6A92" w:rsidRPr="00EE6A92" w14:paraId="63BAC53D" w14:textId="77777777">
        <w:trPr>
          <w:tblHeader/>
          <w:tblCellSpacing w:w="15" w:type="dxa"/>
        </w:trPr>
        <w:tc>
          <w:tcPr>
            <w:tcW w:w="0" w:type="auto"/>
            <w:vAlign w:val="center"/>
            <w:hideMark/>
          </w:tcPr>
          <w:p w14:paraId="6F936D44" w14:textId="77777777" w:rsidR="00EE6A92" w:rsidRPr="00EE6A92" w:rsidRDefault="00EE6A92" w:rsidP="00EE6A92">
            <w:pPr>
              <w:jc w:val="center"/>
              <w:rPr>
                <w:b/>
                <w:bCs/>
                <w:sz w:val="24"/>
                <w:szCs w:val="24"/>
              </w:rPr>
            </w:pPr>
            <w:r w:rsidRPr="00EE6A92">
              <w:rPr>
                <w:b/>
                <w:bCs/>
                <w:sz w:val="24"/>
                <w:szCs w:val="24"/>
              </w:rPr>
              <w:t>Quantum Leadership Attribute</w:t>
            </w:r>
          </w:p>
        </w:tc>
        <w:tc>
          <w:tcPr>
            <w:tcW w:w="0" w:type="auto"/>
            <w:vAlign w:val="center"/>
            <w:hideMark/>
          </w:tcPr>
          <w:p w14:paraId="05D3C0C5" w14:textId="77777777" w:rsidR="00EE6A92" w:rsidRPr="00EE6A92" w:rsidRDefault="00EE6A92" w:rsidP="00EE6A92">
            <w:pPr>
              <w:jc w:val="center"/>
              <w:rPr>
                <w:b/>
                <w:bCs/>
                <w:sz w:val="24"/>
                <w:szCs w:val="24"/>
              </w:rPr>
            </w:pPr>
            <w:r w:rsidRPr="00EE6A92">
              <w:rPr>
                <w:b/>
                <w:bCs/>
                <w:sz w:val="24"/>
                <w:szCs w:val="24"/>
              </w:rPr>
              <w:t xml:space="preserve">Employee A’s 2025 </w:t>
            </w:r>
            <w:proofErr w:type="spellStart"/>
            <w:r w:rsidRPr="00EE6A92">
              <w:rPr>
                <w:b/>
                <w:bCs/>
                <w:sz w:val="24"/>
                <w:szCs w:val="24"/>
              </w:rPr>
              <w:t>Behaviors</w:t>
            </w:r>
            <w:proofErr w:type="spellEnd"/>
          </w:p>
        </w:tc>
        <w:tc>
          <w:tcPr>
            <w:tcW w:w="0" w:type="auto"/>
            <w:vAlign w:val="center"/>
            <w:hideMark/>
          </w:tcPr>
          <w:p w14:paraId="2796EACF" w14:textId="77777777" w:rsidR="00EE6A92" w:rsidRPr="00EE6A92" w:rsidRDefault="00EE6A92" w:rsidP="00EE6A92">
            <w:pPr>
              <w:jc w:val="center"/>
              <w:rPr>
                <w:b/>
                <w:bCs/>
                <w:sz w:val="24"/>
                <w:szCs w:val="24"/>
              </w:rPr>
            </w:pPr>
            <w:r w:rsidRPr="00EE6A92">
              <w:rPr>
                <w:b/>
                <w:bCs/>
                <w:sz w:val="24"/>
                <w:szCs w:val="24"/>
              </w:rPr>
              <w:t>Impact on Transformation</w:t>
            </w:r>
          </w:p>
        </w:tc>
      </w:tr>
      <w:tr w:rsidR="00EE6A92" w:rsidRPr="00EE6A92" w14:paraId="3798EFF7" w14:textId="77777777">
        <w:trPr>
          <w:tblCellSpacing w:w="15" w:type="dxa"/>
        </w:trPr>
        <w:tc>
          <w:tcPr>
            <w:tcW w:w="0" w:type="auto"/>
            <w:vAlign w:val="center"/>
            <w:hideMark/>
          </w:tcPr>
          <w:p w14:paraId="0F2D9E4A" w14:textId="77777777" w:rsidR="00EE6A92" w:rsidRPr="00EE6A92" w:rsidRDefault="00EE6A92" w:rsidP="00EE6A92">
            <w:pPr>
              <w:rPr>
                <w:sz w:val="24"/>
                <w:szCs w:val="24"/>
              </w:rPr>
            </w:pPr>
            <w:r w:rsidRPr="00EE6A92">
              <w:rPr>
                <w:b/>
                <w:bCs/>
                <w:sz w:val="24"/>
                <w:szCs w:val="24"/>
              </w:rPr>
              <w:t>Vision &amp; Values Alignment</w:t>
            </w:r>
            <w:r w:rsidRPr="00EE6A92">
              <w:rPr>
                <w:sz w:val="24"/>
                <w:szCs w:val="24"/>
              </w:rPr>
              <w:t xml:space="preserve"> </w:t>
            </w:r>
            <w:r w:rsidRPr="00EE6A92">
              <w:rPr>
                <w:sz w:val="24"/>
                <w:szCs w:val="24"/>
              </w:rPr>
              <w:br/>
            </w:r>
            <w:r w:rsidRPr="00EE6A92">
              <w:rPr>
                <w:i/>
                <w:iCs/>
                <w:sz w:val="24"/>
                <w:szCs w:val="24"/>
              </w:rPr>
              <w:t>Respects &amp; aligns with leadership’s vision and values</w:t>
            </w:r>
          </w:p>
        </w:tc>
        <w:tc>
          <w:tcPr>
            <w:tcW w:w="0" w:type="auto"/>
            <w:vAlign w:val="center"/>
            <w:hideMark/>
          </w:tcPr>
          <w:p w14:paraId="641E2A4A" w14:textId="77777777" w:rsidR="00EE6A92" w:rsidRPr="00EE6A92" w:rsidRDefault="00EE6A92" w:rsidP="00EE6A92">
            <w:pPr>
              <w:rPr>
                <w:sz w:val="24"/>
                <w:szCs w:val="24"/>
              </w:rPr>
            </w:pPr>
            <w:r w:rsidRPr="00EE6A92">
              <w:rPr>
                <w:sz w:val="24"/>
                <w:szCs w:val="24"/>
              </w:rPr>
              <w:t>– Ensured all initiatives reinforced TPC’s purpose (Well-Being Mandate).</w:t>
            </w:r>
            <w:r w:rsidRPr="00EE6A92">
              <w:rPr>
                <w:sz w:val="24"/>
                <w:szCs w:val="24"/>
              </w:rPr>
              <w:br/>
              <w:t>– Linked external ideas to TPC values (e.g. holistic health program aligned with Octave habits)</w:t>
            </w:r>
            <w:hyperlink r:id="rId179" w:history="1">
              <w:r w:rsidRPr="00EE6A92">
                <w:rPr>
                  <w:color w:val="464FEB"/>
                  <w:sz w:val="24"/>
                  <w:szCs w:val="24"/>
                </w:rPr>
                <w:t>[1]</w:t>
              </w:r>
            </w:hyperlink>
            <w:r w:rsidRPr="00EE6A92">
              <w:rPr>
                <w:sz w:val="24"/>
                <w:szCs w:val="24"/>
              </w:rPr>
              <w:t>.</w:t>
            </w:r>
            <w:r w:rsidRPr="00EE6A92">
              <w:rPr>
                <w:sz w:val="24"/>
                <w:szCs w:val="24"/>
              </w:rPr>
              <w:br/>
              <w:t>– Followed Chairman’s guidance in planning and communications (e.g. GMW content per chairman’s direction)</w:t>
            </w:r>
            <w:hyperlink r:id="rId180" w:history="1">
              <w:r w:rsidRPr="00EE6A92">
                <w:rPr>
                  <w:color w:val="464FEB"/>
                  <w:sz w:val="24"/>
                  <w:szCs w:val="24"/>
                </w:rPr>
                <w:t>[3]</w:t>
              </w:r>
            </w:hyperlink>
            <w:r w:rsidRPr="00EE6A92">
              <w:rPr>
                <w:sz w:val="24"/>
                <w:szCs w:val="24"/>
              </w:rPr>
              <w:t>.</w:t>
            </w:r>
            <w:r w:rsidRPr="00EE6A92">
              <w:rPr>
                <w:sz w:val="24"/>
                <w:szCs w:val="24"/>
              </w:rPr>
              <w:br/>
              <w:t>– Evangelized leadership philosophy to partners (inviting them to programs based on Chairman’s book)</w:t>
            </w:r>
            <w:hyperlink r:id="rId181" w:history="1">
              <w:r w:rsidRPr="00EE6A92">
                <w:rPr>
                  <w:color w:val="464FEB"/>
                  <w:sz w:val="24"/>
                  <w:szCs w:val="24"/>
                </w:rPr>
                <w:t>[1]</w:t>
              </w:r>
            </w:hyperlink>
            <w:r w:rsidRPr="00EE6A92">
              <w:rPr>
                <w:sz w:val="24"/>
                <w:szCs w:val="24"/>
              </w:rPr>
              <w:t>.</w:t>
            </w:r>
          </w:p>
        </w:tc>
        <w:tc>
          <w:tcPr>
            <w:tcW w:w="0" w:type="auto"/>
            <w:vAlign w:val="center"/>
            <w:hideMark/>
          </w:tcPr>
          <w:p w14:paraId="74493591" w14:textId="77777777" w:rsidR="00EE6A92" w:rsidRPr="00EE6A92" w:rsidRDefault="00EE6A92" w:rsidP="00EE6A92">
            <w:pPr>
              <w:rPr>
                <w:sz w:val="24"/>
                <w:szCs w:val="24"/>
              </w:rPr>
            </w:pPr>
            <w:r w:rsidRPr="00EE6A92">
              <w:rPr>
                <w:sz w:val="24"/>
                <w:szCs w:val="24"/>
              </w:rPr>
              <w:t xml:space="preserve">+ </w:t>
            </w:r>
            <w:r w:rsidRPr="00EE6A92">
              <w:rPr>
                <w:b/>
                <w:bCs/>
                <w:sz w:val="24"/>
                <w:szCs w:val="24"/>
              </w:rPr>
              <w:t>Purpose-Driven Change:</w:t>
            </w:r>
            <w:r w:rsidRPr="00EE6A92">
              <w:rPr>
                <w:sz w:val="24"/>
                <w:szCs w:val="24"/>
              </w:rPr>
              <w:t xml:space="preserve"> Kept transformation projects on-mission, increasing coherence.</w:t>
            </w:r>
            <w:r w:rsidRPr="00EE6A92">
              <w:rPr>
                <w:sz w:val="24"/>
                <w:szCs w:val="24"/>
              </w:rPr>
              <w:br/>
              <w:t xml:space="preserve">+ </w:t>
            </w:r>
            <w:r w:rsidRPr="00EE6A92">
              <w:rPr>
                <w:b/>
                <w:bCs/>
                <w:sz w:val="24"/>
                <w:szCs w:val="24"/>
              </w:rPr>
              <w:t>Leadership Trust:</w:t>
            </w:r>
            <w:r w:rsidRPr="00EE6A92">
              <w:rPr>
                <w:sz w:val="24"/>
                <w:szCs w:val="24"/>
              </w:rPr>
              <w:t xml:space="preserve"> Top management trusted him to execute vision, enabling bold initiatives (AI, culture programs) to proceed with support.</w:t>
            </w:r>
            <w:r w:rsidRPr="00EE6A92">
              <w:rPr>
                <w:sz w:val="24"/>
                <w:szCs w:val="24"/>
              </w:rPr>
              <w:br/>
              <w:t xml:space="preserve">+ </w:t>
            </w:r>
            <w:r w:rsidRPr="00EE6A92">
              <w:rPr>
                <w:b/>
                <w:bCs/>
                <w:sz w:val="24"/>
                <w:szCs w:val="24"/>
              </w:rPr>
              <w:t>Employee Buy-In:</w:t>
            </w:r>
            <w:r w:rsidRPr="00EE6A92">
              <w:rPr>
                <w:sz w:val="24"/>
                <w:szCs w:val="24"/>
              </w:rPr>
              <w:t xml:space="preserve"> Clear linkage to core values (well-being, purpose) made employees more receptive to changes as they saw consistency with TPC’s ideals.</w:t>
            </w:r>
          </w:p>
        </w:tc>
      </w:tr>
      <w:tr w:rsidR="00EE6A92" w:rsidRPr="00EE6A92" w14:paraId="784BC02E" w14:textId="77777777">
        <w:trPr>
          <w:tblCellSpacing w:w="15" w:type="dxa"/>
        </w:trPr>
        <w:tc>
          <w:tcPr>
            <w:tcW w:w="0" w:type="auto"/>
            <w:vAlign w:val="center"/>
            <w:hideMark/>
          </w:tcPr>
          <w:p w14:paraId="013AACFA" w14:textId="77777777" w:rsidR="00EE6A92" w:rsidRPr="00EE6A92" w:rsidRDefault="00EE6A92" w:rsidP="00EE6A92">
            <w:pPr>
              <w:rPr>
                <w:sz w:val="24"/>
                <w:szCs w:val="24"/>
              </w:rPr>
            </w:pPr>
            <w:r w:rsidRPr="00EE6A92">
              <w:rPr>
                <w:b/>
                <w:bCs/>
                <w:sz w:val="24"/>
                <w:szCs w:val="24"/>
              </w:rPr>
              <w:t>People Development &amp; Well-Being</w:t>
            </w:r>
            <w:r w:rsidRPr="00EE6A92">
              <w:rPr>
                <w:sz w:val="24"/>
                <w:szCs w:val="24"/>
              </w:rPr>
              <w:t xml:space="preserve"> </w:t>
            </w:r>
            <w:r w:rsidRPr="00EE6A92">
              <w:rPr>
                <w:sz w:val="24"/>
                <w:szCs w:val="24"/>
              </w:rPr>
              <w:br/>
            </w:r>
            <w:r w:rsidRPr="00EE6A92">
              <w:rPr>
                <w:i/>
                <w:iCs/>
                <w:sz w:val="24"/>
                <w:szCs w:val="24"/>
              </w:rPr>
              <w:t>Supports others’ growth &amp; well-being through guidance &amp; care</w:t>
            </w:r>
          </w:p>
        </w:tc>
        <w:tc>
          <w:tcPr>
            <w:tcW w:w="0" w:type="auto"/>
            <w:vAlign w:val="center"/>
            <w:hideMark/>
          </w:tcPr>
          <w:p w14:paraId="430AA8EB" w14:textId="77777777" w:rsidR="00EE6A92" w:rsidRPr="00EE6A92" w:rsidRDefault="00EE6A92" w:rsidP="00EE6A92">
            <w:pPr>
              <w:rPr>
                <w:sz w:val="24"/>
                <w:szCs w:val="24"/>
              </w:rPr>
            </w:pPr>
            <w:r w:rsidRPr="00EE6A92">
              <w:rPr>
                <w:sz w:val="24"/>
                <w:szCs w:val="24"/>
              </w:rPr>
              <w:t>– Coached and mentored employees (led 1:1 coaching in leadership programs).</w:t>
            </w:r>
            <w:r w:rsidRPr="00EE6A92">
              <w:rPr>
                <w:sz w:val="24"/>
                <w:szCs w:val="24"/>
              </w:rPr>
              <w:br/>
              <w:t>– Publicly recognized achievements (congratulated MLP graduates in meeting).</w:t>
            </w:r>
            <w:r w:rsidRPr="00EE6A92">
              <w:rPr>
                <w:sz w:val="24"/>
                <w:szCs w:val="24"/>
              </w:rPr>
              <w:br/>
              <w:t>– Advocated subordinates’ advancement (expanded Joanne’s role and recommended promotion)</w:t>
            </w:r>
            <w:hyperlink r:id="rId182" w:history="1">
              <w:r w:rsidRPr="00EE6A92">
                <w:rPr>
                  <w:color w:val="464FEB"/>
                  <w:sz w:val="24"/>
                  <w:szCs w:val="24"/>
                </w:rPr>
                <w:t>[4]</w:t>
              </w:r>
            </w:hyperlink>
            <w:r w:rsidRPr="00EE6A92">
              <w:rPr>
                <w:sz w:val="24"/>
                <w:szCs w:val="24"/>
              </w:rPr>
              <w:t>.</w:t>
            </w:r>
            <w:r w:rsidRPr="00EE6A92">
              <w:rPr>
                <w:sz w:val="24"/>
                <w:szCs w:val="24"/>
              </w:rPr>
              <w:br/>
              <w:t>– Emphasized developmental use of 360° feedback and provided coaches for support</w:t>
            </w:r>
            <w:hyperlink r:id="rId183" w:history="1">
              <w:r w:rsidRPr="00EE6A92">
                <w:rPr>
                  <w:color w:val="464FEB"/>
                  <w:sz w:val="24"/>
                  <w:szCs w:val="24"/>
                </w:rPr>
                <w:t>[5]</w:t>
              </w:r>
            </w:hyperlink>
            <w:hyperlink r:id="rId184" w:history="1">
              <w:r w:rsidRPr="00EE6A92">
                <w:rPr>
                  <w:color w:val="464FEB"/>
                  <w:sz w:val="24"/>
                  <w:szCs w:val="24"/>
                </w:rPr>
                <w:t>[5]</w:t>
              </w:r>
            </w:hyperlink>
            <w:r w:rsidRPr="00EE6A92">
              <w:rPr>
                <w:sz w:val="24"/>
                <w:szCs w:val="24"/>
              </w:rPr>
              <w:t>.</w:t>
            </w:r>
          </w:p>
        </w:tc>
        <w:tc>
          <w:tcPr>
            <w:tcW w:w="0" w:type="auto"/>
            <w:vAlign w:val="center"/>
            <w:hideMark/>
          </w:tcPr>
          <w:p w14:paraId="0AFF1EC2" w14:textId="77777777" w:rsidR="00EE6A92" w:rsidRPr="00EE6A92" w:rsidRDefault="00EE6A92" w:rsidP="00EE6A92">
            <w:pPr>
              <w:rPr>
                <w:sz w:val="24"/>
                <w:szCs w:val="24"/>
              </w:rPr>
            </w:pPr>
            <w:r w:rsidRPr="00EE6A92">
              <w:rPr>
                <w:sz w:val="24"/>
                <w:szCs w:val="24"/>
              </w:rPr>
              <w:t xml:space="preserve">+ </w:t>
            </w:r>
            <w:r w:rsidRPr="00EE6A92">
              <w:rPr>
                <w:b/>
                <w:bCs/>
                <w:sz w:val="24"/>
                <w:szCs w:val="24"/>
              </w:rPr>
              <w:t>Stronger Talent Pipeline:</w:t>
            </w:r>
            <w:r w:rsidRPr="00EE6A92">
              <w:rPr>
                <w:sz w:val="24"/>
                <w:szCs w:val="24"/>
              </w:rPr>
              <w:t xml:space="preserve"> His mentoring produced more capable leaders (graduates of QLFP, etc.) ready to drive transformation projects.</w:t>
            </w:r>
            <w:r w:rsidRPr="00EE6A92">
              <w:rPr>
                <w:sz w:val="24"/>
                <w:szCs w:val="24"/>
              </w:rPr>
              <w:br/>
              <w:t xml:space="preserve">+ </w:t>
            </w:r>
            <w:r w:rsidRPr="00EE6A92">
              <w:rPr>
                <w:b/>
                <w:bCs/>
                <w:sz w:val="24"/>
                <w:szCs w:val="24"/>
              </w:rPr>
              <w:t>Higher Morale:</w:t>
            </w:r>
            <w:r w:rsidRPr="00EE6A92">
              <w:rPr>
                <w:sz w:val="24"/>
                <w:szCs w:val="24"/>
              </w:rPr>
              <w:t xml:space="preserve"> Recognition and support improved morale and trust, motivating teams to embrace transformation tasks rather than fear them.</w:t>
            </w:r>
            <w:r w:rsidRPr="00EE6A92">
              <w:rPr>
                <w:sz w:val="24"/>
                <w:szCs w:val="24"/>
              </w:rPr>
              <w:br/>
              <w:t xml:space="preserve">+ </w:t>
            </w:r>
            <w:r w:rsidRPr="00EE6A92">
              <w:rPr>
                <w:b/>
                <w:bCs/>
                <w:sz w:val="24"/>
                <w:szCs w:val="24"/>
              </w:rPr>
              <w:t>Cultural Change:</w:t>
            </w:r>
            <w:r w:rsidRPr="00EE6A92">
              <w:rPr>
                <w:sz w:val="24"/>
                <w:szCs w:val="24"/>
              </w:rPr>
              <w:t xml:space="preserve"> </w:t>
            </w:r>
            <w:proofErr w:type="spellStart"/>
            <w:r w:rsidRPr="00EE6A92">
              <w:rPr>
                <w:sz w:val="24"/>
                <w:szCs w:val="24"/>
              </w:rPr>
              <w:t>Modeled</w:t>
            </w:r>
            <w:proofErr w:type="spellEnd"/>
            <w:r w:rsidRPr="00EE6A92">
              <w:rPr>
                <w:sz w:val="24"/>
                <w:szCs w:val="24"/>
              </w:rPr>
              <w:t xml:space="preserve"> a supportive, growth-oriented leadership style for others, aiding the culture shift toward continuous learning and well-being focus.</w:t>
            </w:r>
          </w:p>
        </w:tc>
      </w:tr>
      <w:tr w:rsidR="00EE6A92" w:rsidRPr="00EE6A92" w14:paraId="1E6E0288" w14:textId="77777777">
        <w:trPr>
          <w:tblCellSpacing w:w="15" w:type="dxa"/>
        </w:trPr>
        <w:tc>
          <w:tcPr>
            <w:tcW w:w="0" w:type="auto"/>
            <w:vAlign w:val="center"/>
            <w:hideMark/>
          </w:tcPr>
          <w:p w14:paraId="0D189E66" w14:textId="77777777" w:rsidR="00EE6A92" w:rsidRPr="00EE6A92" w:rsidRDefault="00EE6A92" w:rsidP="00EE6A92">
            <w:pPr>
              <w:rPr>
                <w:sz w:val="24"/>
                <w:szCs w:val="24"/>
              </w:rPr>
            </w:pPr>
            <w:r w:rsidRPr="00EE6A92">
              <w:rPr>
                <w:b/>
                <w:bCs/>
                <w:sz w:val="24"/>
                <w:szCs w:val="24"/>
              </w:rPr>
              <w:t>Self-Belief &amp; Growth Mindset</w:t>
            </w:r>
            <w:r w:rsidRPr="00EE6A92">
              <w:rPr>
                <w:sz w:val="24"/>
                <w:szCs w:val="24"/>
              </w:rPr>
              <w:t xml:space="preserve"> </w:t>
            </w:r>
            <w:r w:rsidRPr="00EE6A92">
              <w:rPr>
                <w:sz w:val="24"/>
                <w:szCs w:val="24"/>
              </w:rPr>
              <w:br/>
            </w:r>
            <w:r w:rsidRPr="00EE6A92">
              <w:rPr>
                <w:i/>
                <w:iCs/>
                <w:sz w:val="24"/>
                <w:szCs w:val="24"/>
              </w:rPr>
              <w:t>Believes in own potential &amp; contributions to own success</w:t>
            </w:r>
          </w:p>
        </w:tc>
        <w:tc>
          <w:tcPr>
            <w:tcW w:w="0" w:type="auto"/>
            <w:vAlign w:val="center"/>
            <w:hideMark/>
          </w:tcPr>
          <w:p w14:paraId="048161EF" w14:textId="77777777" w:rsidR="00EE6A92" w:rsidRPr="00EE6A92" w:rsidRDefault="00EE6A92" w:rsidP="00EE6A92">
            <w:pPr>
              <w:rPr>
                <w:sz w:val="24"/>
                <w:szCs w:val="24"/>
              </w:rPr>
            </w:pPr>
            <w:r w:rsidRPr="00EE6A92">
              <w:rPr>
                <w:sz w:val="24"/>
                <w:szCs w:val="24"/>
              </w:rPr>
              <w:t>– Volunteered for and led critical projects beyond core role (e.g. owned group-wide OKR process).</w:t>
            </w:r>
            <w:r w:rsidRPr="00EE6A92">
              <w:rPr>
                <w:sz w:val="24"/>
                <w:szCs w:val="24"/>
              </w:rPr>
              <w:br/>
              <w:t>– Embraced personal feedback/improvement (completed own PCG diligently</w:t>
            </w:r>
            <w:hyperlink r:id="rId185" w:history="1">
              <w:r w:rsidRPr="00EE6A92">
                <w:rPr>
                  <w:color w:val="464FEB"/>
                  <w:sz w:val="24"/>
                  <w:szCs w:val="24"/>
                </w:rPr>
                <w:t>[6]</w:t>
              </w:r>
            </w:hyperlink>
            <w:r w:rsidRPr="00EE6A92">
              <w:rPr>
                <w:sz w:val="24"/>
                <w:szCs w:val="24"/>
              </w:rPr>
              <w:t>; participated in 360° feedback as reviewee</w:t>
            </w:r>
            <w:hyperlink r:id="rId186" w:history="1">
              <w:r w:rsidRPr="00EE6A92">
                <w:rPr>
                  <w:color w:val="464FEB"/>
                  <w:sz w:val="24"/>
                  <w:szCs w:val="24"/>
                </w:rPr>
                <w:t>[5]</w:t>
              </w:r>
            </w:hyperlink>
            <w:r w:rsidRPr="00EE6A92">
              <w:rPr>
                <w:sz w:val="24"/>
                <w:szCs w:val="24"/>
              </w:rPr>
              <w:t>).</w:t>
            </w:r>
            <w:r w:rsidRPr="00EE6A92">
              <w:rPr>
                <w:sz w:val="24"/>
                <w:szCs w:val="24"/>
              </w:rPr>
              <w:br/>
              <w:t>– Confidently represented TPC’s innovations to external audiences (pitched Octave programs and invited collaboration)</w:t>
            </w:r>
            <w:hyperlink r:id="rId187" w:history="1">
              <w:r w:rsidRPr="00EE6A92">
                <w:rPr>
                  <w:color w:val="464FEB"/>
                  <w:sz w:val="24"/>
                  <w:szCs w:val="24"/>
                </w:rPr>
                <w:t>[1]</w:t>
              </w:r>
            </w:hyperlink>
            <w:r w:rsidRPr="00EE6A92">
              <w:rPr>
                <w:sz w:val="24"/>
                <w:szCs w:val="24"/>
              </w:rPr>
              <w:t>.</w:t>
            </w:r>
            <w:r w:rsidRPr="00EE6A92">
              <w:rPr>
                <w:sz w:val="24"/>
                <w:szCs w:val="24"/>
              </w:rPr>
              <w:br/>
              <w:t xml:space="preserve">– Showed resilience: treated setbacks as learning (iterated </w:t>
            </w:r>
            <w:proofErr w:type="spellStart"/>
            <w:r w:rsidRPr="00EE6A92">
              <w:rPr>
                <w:sz w:val="24"/>
                <w:szCs w:val="24"/>
              </w:rPr>
              <w:t>TalentVerse</w:t>
            </w:r>
            <w:proofErr w:type="spellEnd"/>
            <w:r w:rsidRPr="00EE6A92">
              <w:rPr>
                <w:sz w:val="24"/>
                <w:szCs w:val="24"/>
              </w:rPr>
              <w:t xml:space="preserve"> AI model after initial issues).</w:t>
            </w:r>
          </w:p>
        </w:tc>
        <w:tc>
          <w:tcPr>
            <w:tcW w:w="0" w:type="auto"/>
            <w:vAlign w:val="center"/>
            <w:hideMark/>
          </w:tcPr>
          <w:p w14:paraId="7296CE1C" w14:textId="77777777" w:rsidR="00EE6A92" w:rsidRPr="00EE6A92" w:rsidRDefault="00EE6A92" w:rsidP="00EE6A92">
            <w:pPr>
              <w:rPr>
                <w:sz w:val="24"/>
                <w:szCs w:val="24"/>
              </w:rPr>
            </w:pPr>
            <w:r w:rsidRPr="00EE6A92">
              <w:rPr>
                <w:sz w:val="24"/>
                <w:szCs w:val="24"/>
              </w:rPr>
              <w:t xml:space="preserve">+ </w:t>
            </w:r>
            <w:r w:rsidRPr="00EE6A92">
              <w:rPr>
                <w:b/>
                <w:bCs/>
                <w:sz w:val="24"/>
                <w:szCs w:val="24"/>
              </w:rPr>
              <w:t>Initiative &amp; Momentum:</w:t>
            </w:r>
            <w:r w:rsidRPr="00EE6A92">
              <w:rPr>
                <w:sz w:val="24"/>
                <w:szCs w:val="24"/>
              </w:rPr>
              <w:t xml:space="preserve"> His willingness to lead new initiatives got key transformation elements off the ground (others rallied behind his confident leadership).</w:t>
            </w:r>
            <w:r w:rsidRPr="00EE6A92">
              <w:rPr>
                <w:sz w:val="24"/>
                <w:szCs w:val="24"/>
              </w:rPr>
              <w:br/>
              <w:t xml:space="preserve">+ </w:t>
            </w:r>
            <w:r w:rsidRPr="00EE6A92">
              <w:rPr>
                <w:b/>
                <w:bCs/>
                <w:sz w:val="24"/>
                <w:szCs w:val="24"/>
              </w:rPr>
              <w:t>Adaptability:</w:t>
            </w:r>
            <w:r w:rsidRPr="00EE6A92">
              <w:rPr>
                <w:sz w:val="24"/>
                <w:szCs w:val="24"/>
              </w:rPr>
              <w:t xml:space="preserve"> Demonstrated that even leaders must learn and adapt, fostering an organization where experimentation is OK – benefiting innovation goals (e.g., quick pivots in AI projects).</w:t>
            </w:r>
            <w:r w:rsidRPr="00EE6A92">
              <w:rPr>
                <w:sz w:val="24"/>
                <w:szCs w:val="24"/>
              </w:rPr>
              <w:br/>
              <w:t xml:space="preserve">+ </w:t>
            </w:r>
            <w:r w:rsidRPr="00EE6A92">
              <w:rPr>
                <w:b/>
                <w:bCs/>
                <w:sz w:val="24"/>
                <w:szCs w:val="24"/>
              </w:rPr>
              <w:t>Credibility:</w:t>
            </w:r>
            <w:r w:rsidRPr="00EE6A92">
              <w:rPr>
                <w:sz w:val="24"/>
                <w:szCs w:val="24"/>
              </w:rPr>
              <w:t xml:space="preserve"> His self-assurance in discussing TPC’s progress externally enhanced the company’s image as a forward-thinking firm, attracting potential partners and talent to the transformation journey.</w:t>
            </w:r>
          </w:p>
        </w:tc>
      </w:tr>
      <w:tr w:rsidR="00EE6A92" w:rsidRPr="00EE6A92" w14:paraId="77D27691" w14:textId="77777777">
        <w:trPr>
          <w:tblCellSpacing w:w="15" w:type="dxa"/>
        </w:trPr>
        <w:tc>
          <w:tcPr>
            <w:tcW w:w="0" w:type="auto"/>
            <w:vAlign w:val="center"/>
            <w:hideMark/>
          </w:tcPr>
          <w:p w14:paraId="7D63E6B5" w14:textId="77777777" w:rsidR="00EE6A92" w:rsidRPr="00EE6A92" w:rsidRDefault="00EE6A92" w:rsidP="00EE6A92">
            <w:pPr>
              <w:rPr>
                <w:sz w:val="24"/>
                <w:szCs w:val="24"/>
              </w:rPr>
            </w:pPr>
            <w:r w:rsidRPr="00EE6A92">
              <w:rPr>
                <w:b/>
                <w:bCs/>
                <w:sz w:val="24"/>
                <w:szCs w:val="24"/>
              </w:rPr>
              <w:t>Collaborative Teamwork</w:t>
            </w:r>
            <w:r w:rsidRPr="00EE6A92">
              <w:rPr>
                <w:sz w:val="24"/>
                <w:szCs w:val="24"/>
              </w:rPr>
              <w:t xml:space="preserve"> </w:t>
            </w:r>
            <w:r w:rsidRPr="00EE6A92">
              <w:rPr>
                <w:sz w:val="24"/>
                <w:szCs w:val="24"/>
              </w:rPr>
              <w:br/>
            </w:r>
            <w:r w:rsidRPr="00EE6A92">
              <w:rPr>
                <w:i/>
                <w:iCs/>
                <w:sz w:val="24"/>
                <w:szCs w:val="24"/>
              </w:rPr>
              <w:t>Values collaboration, harmony &amp; fosters teamwork (Mintzberg’s collaborative mindset)</w:t>
            </w:r>
          </w:p>
        </w:tc>
        <w:tc>
          <w:tcPr>
            <w:tcW w:w="0" w:type="auto"/>
            <w:vAlign w:val="center"/>
            <w:hideMark/>
          </w:tcPr>
          <w:p w14:paraId="7C969CA5" w14:textId="77777777" w:rsidR="00EE6A92" w:rsidRPr="00EE6A92" w:rsidRDefault="00EE6A92" w:rsidP="00EE6A92">
            <w:pPr>
              <w:rPr>
                <w:sz w:val="24"/>
                <w:szCs w:val="24"/>
              </w:rPr>
            </w:pPr>
            <w:r w:rsidRPr="00EE6A92">
              <w:rPr>
                <w:sz w:val="24"/>
                <w:szCs w:val="24"/>
              </w:rPr>
              <w:t>– Broke down silos: advocated for data sharing and cross-unit information flow (tackled “territorial” data issues)</w:t>
            </w:r>
            <w:hyperlink r:id="rId188" w:history="1">
              <w:r w:rsidRPr="00EE6A92">
                <w:rPr>
                  <w:color w:val="464FEB"/>
                  <w:sz w:val="24"/>
                  <w:szCs w:val="24"/>
                </w:rPr>
                <w:t>[2]</w:t>
              </w:r>
            </w:hyperlink>
            <w:r w:rsidRPr="00EE6A92">
              <w:rPr>
                <w:sz w:val="24"/>
                <w:szCs w:val="24"/>
              </w:rPr>
              <w:t>.</w:t>
            </w:r>
            <w:r w:rsidRPr="00EE6A92">
              <w:rPr>
                <w:sz w:val="24"/>
                <w:szCs w:val="24"/>
              </w:rPr>
              <w:br/>
              <w:t>– Facilitated cross-functional projects (IT + Finance + P\&amp;O in workflow automation).</w:t>
            </w:r>
            <w:r w:rsidRPr="00EE6A92">
              <w:rPr>
                <w:sz w:val="24"/>
                <w:szCs w:val="24"/>
              </w:rPr>
              <w:br/>
              <w:t>– Encouraged inclusive planning (involved all functions in OKR setting, held alignment workshops).</w:t>
            </w:r>
            <w:r w:rsidRPr="00EE6A92">
              <w:rPr>
                <w:sz w:val="24"/>
                <w:szCs w:val="24"/>
              </w:rPr>
              <w:br/>
              <w:t>– Created harmonious environments: credited team members, invited input from all, and resolved inter-dept frictions by finding win-win solutions.</w:t>
            </w:r>
          </w:p>
        </w:tc>
        <w:tc>
          <w:tcPr>
            <w:tcW w:w="0" w:type="auto"/>
            <w:vAlign w:val="center"/>
            <w:hideMark/>
          </w:tcPr>
          <w:p w14:paraId="39045F8D" w14:textId="77777777" w:rsidR="00EE6A92" w:rsidRPr="00EE6A92" w:rsidRDefault="00EE6A92" w:rsidP="00EE6A92">
            <w:pPr>
              <w:rPr>
                <w:sz w:val="24"/>
                <w:szCs w:val="24"/>
              </w:rPr>
            </w:pPr>
            <w:r w:rsidRPr="00EE6A92">
              <w:rPr>
                <w:sz w:val="24"/>
                <w:szCs w:val="24"/>
              </w:rPr>
              <w:t xml:space="preserve">+ </w:t>
            </w:r>
            <w:r w:rsidRPr="00EE6A92">
              <w:rPr>
                <w:b/>
                <w:bCs/>
                <w:sz w:val="24"/>
                <w:szCs w:val="24"/>
              </w:rPr>
              <w:t>Unified Effort:</w:t>
            </w:r>
            <w:r w:rsidRPr="00EE6A92">
              <w:rPr>
                <w:sz w:val="24"/>
                <w:szCs w:val="24"/>
              </w:rPr>
              <w:t xml:space="preserve"> Enhanced cooperation across departments; complex changes (new systems, policies) were implemented faster because teams worked in unison rather than at cross purposes.</w:t>
            </w:r>
            <w:r w:rsidRPr="00EE6A92">
              <w:rPr>
                <w:sz w:val="24"/>
                <w:szCs w:val="24"/>
              </w:rPr>
              <w:br/>
              <w:t xml:space="preserve">+ </w:t>
            </w:r>
            <w:r w:rsidRPr="00EE6A92">
              <w:rPr>
                <w:b/>
                <w:bCs/>
                <w:sz w:val="24"/>
                <w:szCs w:val="24"/>
              </w:rPr>
              <w:t>Innovation Synergy:</w:t>
            </w:r>
            <w:r w:rsidRPr="00EE6A92">
              <w:rPr>
                <w:sz w:val="24"/>
                <w:szCs w:val="24"/>
              </w:rPr>
              <w:t xml:space="preserve"> Combined expertise from different domains led to creative solutions (e.g. AI coaching blending HR + Octave inputs), giving TPC a competitive edge in transformation areas.</w:t>
            </w:r>
            <w:r w:rsidRPr="00EE6A92">
              <w:rPr>
                <w:sz w:val="24"/>
                <w:szCs w:val="24"/>
              </w:rPr>
              <w:br/>
              <w:t xml:space="preserve">+ </w:t>
            </w:r>
            <w:r w:rsidRPr="00EE6A92">
              <w:rPr>
                <w:b/>
                <w:bCs/>
                <w:sz w:val="24"/>
                <w:szCs w:val="24"/>
              </w:rPr>
              <w:t>Culture of Collaboration:</w:t>
            </w:r>
            <w:r w:rsidRPr="00EE6A92">
              <w:rPr>
                <w:sz w:val="24"/>
                <w:szCs w:val="24"/>
              </w:rPr>
              <w:t xml:space="preserve"> By </w:t>
            </w:r>
            <w:proofErr w:type="spellStart"/>
            <w:r w:rsidRPr="00EE6A92">
              <w:rPr>
                <w:sz w:val="24"/>
                <w:szCs w:val="24"/>
              </w:rPr>
              <w:t>modeling</w:t>
            </w:r>
            <w:proofErr w:type="spellEnd"/>
            <w:r w:rsidRPr="00EE6A92">
              <w:rPr>
                <w:sz w:val="24"/>
                <w:szCs w:val="24"/>
              </w:rPr>
              <w:t xml:space="preserve"> teamwork and breaking silos, he helped shift TPC towards a more networked, less hierarchical culture – crucial for agility in a changing environment.</w:t>
            </w:r>
          </w:p>
        </w:tc>
      </w:tr>
      <w:tr w:rsidR="00EE6A92" w:rsidRPr="00EE6A92" w14:paraId="339E5CA5" w14:textId="77777777">
        <w:trPr>
          <w:tblCellSpacing w:w="15" w:type="dxa"/>
        </w:trPr>
        <w:tc>
          <w:tcPr>
            <w:tcW w:w="0" w:type="auto"/>
            <w:vAlign w:val="center"/>
            <w:hideMark/>
          </w:tcPr>
          <w:p w14:paraId="601B8A6A" w14:textId="77777777" w:rsidR="00EE6A92" w:rsidRPr="00EE6A92" w:rsidRDefault="00EE6A92" w:rsidP="00EE6A92">
            <w:pPr>
              <w:rPr>
                <w:sz w:val="24"/>
                <w:szCs w:val="24"/>
              </w:rPr>
            </w:pPr>
            <w:r w:rsidRPr="00EE6A92">
              <w:rPr>
                <w:b/>
                <w:bCs/>
                <w:sz w:val="24"/>
                <w:szCs w:val="24"/>
              </w:rPr>
              <w:t>Partnership Building</w:t>
            </w:r>
            <w:r w:rsidRPr="00EE6A92">
              <w:rPr>
                <w:sz w:val="24"/>
                <w:szCs w:val="24"/>
              </w:rPr>
              <w:t xml:space="preserve"> </w:t>
            </w:r>
            <w:r w:rsidRPr="00EE6A92">
              <w:rPr>
                <w:sz w:val="24"/>
                <w:szCs w:val="24"/>
              </w:rPr>
              <w:br/>
            </w:r>
            <w:r w:rsidRPr="00EE6A92">
              <w:rPr>
                <w:i/>
                <w:iCs/>
                <w:sz w:val="24"/>
                <w:szCs w:val="24"/>
              </w:rPr>
              <w:t>Develops &amp; nurtures partnerships for collaboration &amp; synergy</w:t>
            </w:r>
          </w:p>
        </w:tc>
        <w:tc>
          <w:tcPr>
            <w:tcW w:w="0" w:type="auto"/>
            <w:vAlign w:val="center"/>
            <w:hideMark/>
          </w:tcPr>
          <w:p w14:paraId="1B99FA86" w14:textId="77777777" w:rsidR="00EE6A92" w:rsidRPr="00EE6A92" w:rsidRDefault="00EE6A92" w:rsidP="00EE6A92">
            <w:pPr>
              <w:rPr>
                <w:sz w:val="24"/>
                <w:szCs w:val="24"/>
              </w:rPr>
            </w:pPr>
            <w:r w:rsidRPr="00EE6A92">
              <w:rPr>
                <w:sz w:val="24"/>
                <w:szCs w:val="24"/>
              </w:rPr>
              <w:t>– Strengthened internal partnerships (bridged Octave services with business units’ needs; e.g. partnered with country CEOs to roll out corporate programs in local offices)</w:t>
            </w:r>
            <w:hyperlink r:id="rId189" w:history="1">
              <w:r w:rsidRPr="00EE6A92">
                <w:rPr>
                  <w:color w:val="464FEB"/>
                  <w:sz w:val="24"/>
                  <w:szCs w:val="24"/>
                </w:rPr>
                <w:t>[2]</w:t>
              </w:r>
            </w:hyperlink>
            <w:r w:rsidRPr="00EE6A92">
              <w:rPr>
                <w:sz w:val="24"/>
                <w:szCs w:val="24"/>
              </w:rPr>
              <w:t>.</w:t>
            </w:r>
            <w:r w:rsidRPr="00EE6A92">
              <w:rPr>
                <w:sz w:val="24"/>
                <w:szCs w:val="24"/>
              </w:rPr>
              <w:br/>
              <w:t>– Managed external collaborations (led NUS CGS research partnership on well-being, meeting milestones)</w:t>
            </w:r>
            <w:hyperlink r:id="rId190" w:history="1">
              <w:r w:rsidRPr="00EE6A92">
                <w:rPr>
                  <w:color w:val="464FEB"/>
                  <w:sz w:val="24"/>
                  <w:szCs w:val="24"/>
                </w:rPr>
                <w:t>[9]</w:t>
              </w:r>
            </w:hyperlink>
            <w:r w:rsidRPr="00EE6A92">
              <w:rPr>
                <w:sz w:val="24"/>
                <w:szCs w:val="24"/>
              </w:rPr>
              <w:t>.</w:t>
            </w:r>
            <w:r w:rsidRPr="00EE6A92">
              <w:rPr>
                <w:sz w:val="24"/>
                <w:szCs w:val="24"/>
              </w:rPr>
              <w:br/>
              <w:t>– Collaborated with academic institutions (ran joint SMU workshops, developed SUSS Masters module)</w:t>
            </w:r>
            <w:hyperlink r:id="rId191" w:history="1">
              <w:r w:rsidRPr="00EE6A92">
                <w:rPr>
                  <w:color w:val="464FEB"/>
                  <w:sz w:val="24"/>
                  <w:szCs w:val="24"/>
                </w:rPr>
                <w:t>[1]</w:t>
              </w:r>
            </w:hyperlink>
            <w:r w:rsidRPr="00EE6A92">
              <w:rPr>
                <w:sz w:val="24"/>
                <w:szCs w:val="24"/>
              </w:rPr>
              <w:t>.</w:t>
            </w:r>
            <w:r w:rsidRPr="00EE6A92">
              <w:rPr>
                <w:sz w:val="24"/>
                <w:szCs w:val="24"/>
              </w:rPr>
              <w:br/>
              <w:t>– Engaged external experts/vendors for specialized input (brought in AI tool providers, global facilitators for programs)</w:t>
            </w:r>
            <w:hyperlink r:id="rId192" w:history="1">
              <w:r w:rsidRPr="00EE6A92">
                <w:rPr>
                  <w:color w:val="464FEB"/>
                  <w:sz w:val="24"/>
                  <w:szCs w:val="24"/>
                </w:rPr>
                <w:t>[11]</w:t>
              </w:r>
            </w:hyperlink>
            <w:hyperlink r:id="rId193" w:history="1">
              <w:r w:rsidRPr="00EE6A92">
                <w:rPr>
                  <w:color w:val="464FEB"/>
                  <w:sz w:val="24"/>
                  <w:szCs w:val="24"/>
                </w:rPr>
                <w:t>[10]</w:t>
              </w:r>
            </w:hyperlink>
            <w:r w:rsidRPr="00EE6A92">
              <w:rPr>
                <w:sz w:val="24"/>
                <w:szCs w:val="24"/>
              </w:rPr>
              <w:t>.</w:t>
            </w:r>
          </w:p>
        </w:tc>
        <w:tc>
          <w:tcPr>
            <w:tcW w:w="0" w:type="auto"/>
            <w:vAlign w:val="center"/>
            <w:hideMark/>
          </w:tcPr>
          <w:p w14:paraId="7D2C9D60" w14:textId="77777777" w:rsidR="00EE6A92" w:rsidRPr="00EE6A92" w:rsidRDefault="00EE6A92" w:rsidP="00EE6A92">
            <w:pPr>
              <w:rPr>
                <w:sz w:val="24"/>
                <w:szCs w:val="24"/>
              </w:rPr>
            </w:pPr>
            <w:r w:rsidRPr="00EE6A92">
              <w:rPr>
                <w:sz w:val="24"/>
                <w:szCs w:val="24"/>
              </w:rPr>
              <w:t xml:space="preserve">+ </w:t>
            </w:r>
            <w:r w:rsidRPr="00EE6A92">
              <w:rPr>
                <w:b/>
                <w:bCs/>
                <w:sz w:val="24"/>
                <w:szCs w:val="24"/>
              </w:rPr>
              <w:t>Resource Leverage:</w:t>
            </w:r>
            <w:r w:rsidRPr="00EE6A92">
              <w:rPr>
                <w:sz w:val="24"/>
                <w:szCs w:val="24"/>
              </w:rPr>
              <w:t xml:space="preserve"> Internal synergies meant TPC could accomplish more without extra headcount (e.g. Octave + HR partnership delivered new AI tools efficiently).</w:t>
            </w:r>
            <w:r w:rsidRPr="00EE6A92">
              <w:rPr>
                <w:sz w:val="24"/>
                <w:szCs w:val="24"/>
              </w:rPr>
              <w:br/>
              <w:t xml:space="preserve">+ </w:t>
            </w:r>
            <w:r w:rsidRPr="00EE6A92">
              <w:rPr>
                <w:b/>
                <w:bCs/>
                <w:sz w:val="24"/>
                <w:szCs w:val="24"/>
              </w:rPr>
              <w:t>Knowledge Infusion:</w:t>
            </w:r>
            <w:r w:rsidRPr="00EE6A92">
              <w:rPr>
                <w:sz w:val="24"/>
                <w:szCs w:val="24"/>
              </w:rPr>
              <w:t xml:space="preserve"> Academic partnerships contributed cutting-edge research and credibility to TPC’s transformation (e.g. well-being framework guiding strategy)</w:t>
            </w:r>
            <w:hyperlink r:id="rId194" w:history="1">
              <w:r w:rsidRPr="00EE6A92">
                <w:rPr>
                  <w:color w:val="464FEB"/>
                  <w:sz w:val="24"/>
                  <w:szCs w:val="24"/>
                </w:rPr>
                <w:t>[9]</w:t>
              </w:r>
            </w:hyperlink>
            <w:r w:rsidRPr="00EE6A92">
              <w:rPr>
                <w:sz w:val="24"/>
                <w:szCs w:val="24"/>
              </w:rPr>
              <w:t>.</w:t>
            </w:r>
            <w:r w:rsidRPr="00EE6A92">
              <w:rPr>
                <w:sz w:val="24"/>
                <w:szCs w:val="24"/>
              </w:rPr>
              <w:br/>
              <w:t xml:space="preserve">+ </w:t>
            </w:r>
            <w:r w:rsidRPr="00EE6A92">
              <w:rPr>
                <w:b/>
                <w:bCs/>
                <w:sz w:val="24"/>
                <w:szCs w:val="24"/>
              </w:rPr>
              <w:t>Faster Transformation:</w:t>
            </w:r>
            <w:r w:rsidRPr="00EE6A92">
              <w:rPr>
                <w:sz w:val="24"/>
                <w:szCs w:val="24"/>
              </w:rPr>
              <w:t xml:space="preserve"> External collaborations provided technologies and expertise (AI, coaching) ready-made, accelerating implementation of new capabilities versus developing alone.</w:t>
            </w:r>
            <w:r w:rsidRPr="00EE6A92">
              <w:rPr>
                <w:sz w:val="24"/>
                <w:szCs w:val="24"/>
              </w:rPr>
              <w:br/>
              <w:t xml:space="preserve">+ </w:t>
            </w:r>
            <w:r w:rsidRPr="00EE6A92">
              <w:rPr>
                <w:b/>
                <w:bCs/>
                <w:sz w:val="24"/>
                <w:szCs w:val="24"/>
              </w:rPr>
              <w:t>Enhanced Ecosystem Reputation:</w:t>
            </w:r>
            <w:r w:rsidRPr="00EE6A92">
              <w:rPr>
                <w:sz w:val="24"/>
                <w:szCs w:val="24"/>
              </w:rPr>
              <w:t xml:space="preserve"> Through partnerships, TPC positioned itself at the </w:t>
            </w:r>
            <w:proofErr w:type="spellStart"/>
            <w:r w:rsidRPr="00EE6A92">
              <w:rPr>
                <w:sz w:val="24"/>
                <w:szCs w:val="24"/>
              </w:rPr>
              <w:t>center</w:t>
            </w:r>
            <w:proofErr w:type="spellEnd"/>
            <w:r w:rsidRPr="00EE6A92">
              <w:rPr>
                <w:sz w:val="24"/>
                <w:szCs w:val="24"/>
              </w:rPr>
              <w:t xml:space="preserve"> of an ecosystem of innovation and well-being, supporting its long-term vision beyond 2025.</w:t>
            </w:r>
          </w:p>
        </w:tc>
      </w:tr>
      <w:tr w:rsidR="00EE6A92" w:rsidRPr="00EE6A92" w14:paraId="1C859938" w14:textId="77777777">
        <w:trPr>
          <w:tblCellSpacing w:w="15" w:type="dxa"/>
        </w:trPr>
        <w:tc>
          <w:tcPr>
            <w:tcW w:w="0" w:type="auto"/>
            <w:vAlign w:val="center"/>
            <w:hideMark/>
          </w:tcPr>
          <w:p w14:paraId="5D54E7A7" w14:textId="77777777" w:rsidR="00EE6A92" w:rsidRPr="00EE6A92" w:rsidRDefault="00EE6A92" w:rsidP="00EE6A92">
            <w:pPr>
              <w:rPr>
                <w:sz w:val="24"/>
                <w:szCs w:val="24"/>
              </w:rPr>
            </w:pPr>
            <w:r w:rsidRPr="00EE6A92">
              <w:rPr>
                <w:b/>
                <w:bCs/>
                <w:sz w:val="24"/>
                <w:szCs w:val="24"/>
              </w:rPr>
              <w:t>Open Conflict Management</w:t>
            </w:r>
            <w:r w:rsidRPr="00EE6A92">
              <w:rPr>
                <w:sz w:val="24"/>
                <w:szCs w:val="24"/>
              </w:rPr>
              <w:t xml:space="preserve"> </w:t>
            </w:r>
            <w:r w:rsidRPr="00EE6A92">
              <w:rPr>
                <w:sz w:val="24"/>
                <w:szCs w:val="24"/>
              </w:rPr>
              <w:br/>
            </w:r>
            <w:r w:rsidRPr="00EE6A92">
              <w:rPr>
                <w:i/>
                <w:iCs/>
                <w:sz w:val="24"/>
                <w:szCs w:val="24"/>
              </w:rPr>
              <w:t>Manages conflicts openly &amp; transparently</w:t>
            </w:r>
          </w:p>
        </w:tc>
        <w:tc>
          <w:tcPr>
            <w:tcW w:w="0" w:type="auto"/>
            <w:vAlign w:val="center"/>
            <w:hideMark/>
          </w:tcPr>
          <w:p w14:paraId="1D47D6F9" w14:textId="77777777" w:rsidR="00EE6A92" w:rsidRPr="00EE6A92" w:rsidRDefault="00EE6A92" w:rsidP="00EE6A92">
            <w:pPr>
              <w:rPr>
                <w:sz w:val="24"/>
                <w:szCs w:val="24"/>
              </w:rPr>
            </w:pPr>
            <w:r w:rsidRPr="00EE6A92">
              <w:rPr>
                <w:sz w:val="24"/>
                <w:szCs w:val="24"/>
              </w:rPr>
              <w:t>– Candidly surfaced conflicts (openly discussed data hoarding issue and need for central policies)</w:t>
            </w:r>
            <w:hyperlink r:id="rId195" w:history="1">
              <w:r w:rsidRPr="00EE6A92">
                <w:rPr>
                  <w:color w:val="464FEB"/>
                  <w:sz w:val="24"/>
                  <w:szCs w:val="24"/>
                </w:rPr>
                <w:t>[2]</w:t>
              </w:r>
            </w:hyperlink>
            <w:r w:rsidRPr="00EE6A92">
              <w:rPr>
                <w:sz w:val="24"/>
                <w:szCs w:val="24"/>
              </w:rPr>
              <w:t>.</w:t>
            </w:r>
            <w:r w:rsidRPr="00EE6A92">
              <w:rPr>
                <w:sz w:val="24"/>
                <w:szCs w:val="24"/>
              </w:rPr>
              <w:br/>
              <w:t xml:space="preserve">– Facilitated resolution with all stakeholders (mediated TPC vs </w:t>
            </w:r>
            <w:proofErr w:type="spellStart"/>
            <w:r w:rsidRPr="00EE6A92">
              <w:rPr>
                <w:sz w:val="24"/>
                <w:szCs w:val="24"/>
              </w:rPr>
              <w:t>Heritas</w:t>
            </w:r>
            <w:proofErr w:type="spellEnd"/>
            <w:r w:rsidRPr="00EE6A92">
              <w:rPr>
                <w:sz w:val="24"/>
                <w:szCs w:val="24"/>
              </w:rPr>
              <w:t xml:space="preserve"> investment overlap by clarifying focus areas).</w:t>
            </w:r>
            <w:r w:rsidRPr="00EE6A92">
              <w:rPr>
                <w:sz w:val="24"/>
                <w:szCs w:val="24"/>
              </w:rPr>
              <w:br/>
              <w:t>– Sought leadership support to address conflicts collectively (invited Niap to co-address data sharing in workshop)</w:t>
            </w:r>
            <w:hyperlink r:id="rId196" w:history="1">
              <w:r w:rsidRPr="00EE6A92">
                <w:rPr>
                  <w:color w:val="464FEB"/>
                  <w:sz w:val="24"/>
                  <w:szCs w:val="24"/>
                </w:rPr>
                <w:t>[2]</w:t>
              </w:r>
            </w:hyperlink>
            <w:r w:rsidRPr="00EE6A92">
              <w:rPr>
                <w:sz w:val="24"/>
                <w:szCs w:val="24"/>
              </w:rPr>
              <w:t>.</w:t>
            </w:r>
            <w:r w:rsidRPr="00EE6A92">
              <w:rPr>
                <w:sz w:val="24"/>
                <w:szCs w:val="24"/>
              </w:rPr>
              <w:br/>
              <w:t>– Maintained fairness and fact-based approach in disputes (used strategic criteria to decide resource allocation, avoiding bias).</w:t>
            </w:r>
          </w:p>
        </w:tc>
        <w:tc>
          <w:tcPr>
            <w:tcW w:w="0" w:type="auto"/>
            <w:vAlign w:val="center"/>
            <w:hideMark/>
          </w:tcPr>
          <w:p w14:paraId="680ED81C" w14:textId="77777777" w:rsidR="00EE6A92" w:rsidRPr="00EE6A92" w:rsidRDefault="00EE6A92" w:rsidP="00EE6A92">
            <w:pPr>
              <w:rPr>
                <w:sz w:val="24"/>
                <w:szCs w:val="24"/>
              </w:rPr>
            </w:pPr>
            <w:r w:rsidRPr="00EE6A92">
              <w:rPr>
                <w:sz w:val="24"/>
                <w:szCs w:val="24"/>
              </w:rPr>
              <w:t xml:space="preserve">+ </w:t>
            </w:r>
            <w:r w:rsidRPr="00EE6A92">
              <w:rPr>
                <w:b/>
                <w:bCs/>
                <w:sz w:val="24"/>
                <w:szCs w:val="24"/>
              </w:rPr>
              <w:t>Cleared Roadblocks:</w:t>
            </w:r>
            <w:r w:rsidRPr="00EE6A92">
              <w:rPr>
                <w:sz w:val="24"/>
                <w:szCs w:val="24"/>
              </w:rPr>
              <w:t xml:space="preserve"> Addressing issues like data silos early removed obstacles that could hinder transformation initiatives (AI, analytics) – enabling those projects to succeed on schedule.</w:t>
            </w:r>
            <w:r w:rsidRPr="00EE6A92">
              <w:rPr>
                <w:sz w:val="24"/>
                <w:szCs w:val="24"/>
              </w:rPr>
              <w:br/>
              <w:t xml:space="preserve">+ </w:t>
            </w:r>
            <w:r w:rsidRPr="00EE6A92">
              <w:rPr>
                <w:b/>
                <w:bCs/>
                <w:sz w:val="24"/>
                <w:szCs w:val="24"/>
              </w:rPr>
              <w:t>Trust in Leadership:</w:t>
            </w:r>
            <w:r w:rsidRPr="00EE6A92">
              <w:rPr>
                <w:sz w:val="24"/>
                <w:szCs w:val="24"/>
              </w:rPr>
              <w:t xml:space="preserve"> Transparent handling of tough issues increased trust among employees that leadership will acknowledge and fix problems, not hide them, leading to more honest feedback and quicker course-corrections.</w:t>
            </w:r>
            <w:r w:rsidRPr="00EE6A92">
              <w:rPr>
                <w:sz w:val="24"/>
                <w:szCs w:val="24"/>
              </w:rPr>
              <w:br/>
              <w:t xml:space="preserve">+ </w:t>
            </w:r>
            <w:r w:rsidRPr="00EE6A92">
              <w:rPr>
                <w:b/>
                <w:bCs/>
                <w:sz w:val="24"/>
                <w:szCs w:val="24"/>
              </w:rPr>
              <w:t>Quicker Buy-in:</w:t>
            </w:r>
            <w:r w:rsidRPr="00EE6A92">
              <w:rPr>
                <w:sz w:val="24"/>
                <w:szCs w:val="24"/>
              </w:rPr>
              <w:t xml:space="preserve"> By resolving conflicts openly, he prevented prolonged disagreements. Decisions (once made) had wider acceptance, so implementation of those decisions (new policies, etc.) faced less sabotage or foot-dragging.</w:t>
            </w:r>
          </w:p>
        </w:tc>
      </w:tr>
      <w:tr w:rsidR="00EE6A92" w:rsidRPr="00EE6A92" w14:paraId="3F205F93" w14:textId="77777777">
        <w:trPr>
          <w:tblCellSpacing w:w="15" w:type="dxa"/>
        </w:trPr>
        <w:tc>
          <w:tcPr>
            <w:tcW w:w="0" w:type="auto"/>
            <w:vAlign w:val="center"/>
            <w:hideMark/>
          </w:tcPr>
          <w:p w14:paraId="4C53B429" w14:textId="77777777" w:rsidR="00EE6A92" w:rsidRPr="00EE6A92" w:rsidRDefault="00EE6A92" w:rsidP="00EE6A92">
            <w:pPr>
              <w:rPr>
                <w:sz w:val="24"/>
                <w:szCs w:val="24"/>
              </w:rPr>
            </w:pPr>
            <w:r w:rsidRPr="00EE6A92">
              <w:rPr>
                <w:b/>
                <w:bCs/>
                <w:sz w:val="24"/>
                <w:szCs w:val="24"/>
              </w:rPr>
              <w:t>Organizational Alignment</w:t>
            </w:r>
            <w:r w:rsidRPr="00EE6A92">
              <w:rPr>
                <w:sz w:val="24"/>
                <w:szCs w:val="24"/>
              </w:rPr>
              <w:t xml:space="preserve"> </w:t>
            </w:r>
            <w:r w:rsidRPr="00EE6A92">
              <w:rPr>
                <w:sz w:val="24"/>
                <w:szCs w:val="24"/>
              </w:rPr>
              <w:br/>
            </w:r>
            <w:r w:rsidRPr="00EE6A92">
              <w:rPr>
                <w:i/>
                <w:iCs/>
                <w:sz w:val="24"/>
                <w:szCs w:val="24"/>
              </w:rPr>
              <w:t>Seeks understanding &amp; alignment within context</w:t>
            </w:r>
          </w:p>
        </w:tc>
        <w:tc>
          <w:tcPr>
            <w:tcW w:w="0" w:type="auto"/>
            <w:vAlign w:val="center"/>
            <w:hideMark/>
          </w:tcPr>
          <w:p w14:paraId="4233794A" w14:textId="77777777" w:rsidR="00EE6A92" w:rsidRPr="00EE6A92" w:rsidRDefault="00EE6A92" w:rsidP="00EE6A92">
            <w:pPr>
              <w:rPr>
                <w:sz w:val="24"/>
                <w:szCs w:val="24"/>
              </w:rPr>
            </w:pPr>
            <w:r w:rsidRPr="00EE6A92">
              <w:rPr>
                <w:sz w:val="24"/>
                <w:szCs w:val="24"/>
              </w:rPr>
              <w:t>– Contextualized strategic initiatives for all levels (provided 5-year vision and “why” behind OKRs)</w:t>
            </w:r>
            <w:hyperlink r:id="rId197" w:history="1">
              <w:r w:rsidRPr="00EE6A92">
                <w:rPr>
                  <w:color w:val="464FEB"/>
                  <w:sz w:val="24"/>
                  <w:szCs w:val="24"/>
                </w:rPr>
                <w:t>[14]</w:t>
              </w:r>
            </w:hyperlink>
            <w:hyperlink r:id="rId198" w:history="1">
              <w:r w:rsidRPr="00EE6A92">
                <w:rPr>
                  <w:color w:val="464FEB"/>
                  <w:sz w:val="24"/>
                  <w:szCs w:val="24"/>
                </w:rPr>
                <w:t>[14]</w:t>
              </w:r>
            </w:hyperlink>
            <w:r w:rsidRPr="00EE6A92">
              <w:rPr>
                <w:sz w:val="24"/>
                <w:szCs w:val="24"/>
              </w:rPr>
              <w:t>.</w:t>
            </w:r>
            <w:r w:rsidRPr="00EE6A92">
              <w:rPr>
                <w:sz w:val="24"/>
                <w:szCs w:val="24"/>
              </w:rPr>
              <w:br/>
              <w:t>– Aligned org structures/roles with strategy shifts (updated Octave org chart and role profiles to fit new objectives)</w:t>
            </w:r>
            <w:hyperlink r:id="rId199" w:history="1">
              <w:r w:rsidRPr="00EE6A92">
                <w:rPr>
                  <w:color w:val="464FEB"/>
                  <w:sz w:val="24"/>
                  <w:szCs w:val="24"/>
                </w:rPr>
                <w:t>[4]</w:t>
              </w:r>
            </w:hyperlink>
            <w:hyperlink r:id="rId200" w:history="1">
              <w:r w:rsidRPr="00EE6A92">
                <w:rPr>
                  <w:color w:val="464FEB"/>
                  <w:sz w:val="24"/>
                  <w:szCs w:val="24"/>
                </w:rPr>
                <w:t>[15]</w:t>
              </w:r>
            </w:hyperlink>
            <w:r w:rsidRPr="00EE6A92">
              <w:rPr>
                <w:sz w:val="24"/>
                <w:szCs w:val="24"/>
              </w:rPr>
              <w:t>.</w:t>
            </w:r>
            <w:r w:rsidRPr="00EE6A92">
              <w:rPr>
                <w:sz w:val="24"/>
                <w:szCs w:val="24"/>
              </w:rPr>
              <w:br/>
              <w:t>– Set up briefings/training to ensure shared understanding (pre-initiative briefings like 360° survey purpose and method)</w:t>
            </w:r>
            <w:hyperlink r:id="rId201" w:history="1">
              <w:r w:rsidRPr="00EE6A92">
                <w:rPr>
                  <w:color w:val="464FEB"/>
                  <w:sz w:val="24"/>
                  <w:szCs w:val="24"/>
                </w:rPr>
                <w:t>[5]</w:t>
              </w:r>
            </w:hyperlink>
            <w:hyperlink r:id="rId202" w:history="1">
              <w:r w:rsidRPr="00EE6A92">
                <w:rPr>
                  <w:color w:val="464FEB"/>
                  <w:sz w:val="24"/>
                  <w:szCs w:val="24"/>
                </w:rPr>
                <w:t>[5]</w:t>
              </w:r>
            </w:hyperlink>
            <w:r w:rsidRPr="00EE6A92">
              <w:rPr>
                <w:sz w:val="24"/>
                <w:szCs w:val="24"/>
              </w:rPr>
              <w:t>.</w:t>
            </w:r>
            <w:r w:rsidRPr="00EE6A92">
              <w:rPr>
                <w:sz w:val="24"/>
                <w:szCs w:val="24"/>
              </w:rPr>
              <w:br/>
              <w:t>– Listened and incorporated feedback to refine plans (iterated OKR content with function inputs over weeks before locking).</w:t>
            </w:r>
          </w:p>
        </w:tc>
        <w:tc>
          <w:tcPr>
            <w:tcW w:w="0" w:type="auto"/>
            <w:vAlign w:val="center"/>
            <w:hideMark/>
          </w:tcPr>
          <w:p w14:paraId="4BC0D10B" w14:textId="77777777" w:rsidR="00EE6A92" w:rsidRPr="00EE6A92" w:rsidRDefault="00EE6A92" w:rsidP="00EE6A92">
            <w:pPr>
              <w:rPr>
                <w:sz w:val="24"/>
                <w:szCs w:val="24"/>
              </w:rPr>
            </w:pPr>
            <w:r w:rsidRPr="00EE6A92">
              <w:rPr>
                <w:sz w:val="24"/>
                <w:szCs w:val="24"/>
              </w:rPr>
              <w:t xml:space="preserve">+ </w:t>
            </w:r>
            <w:r w:rsidRPr="00EE6A92">
              <w:rPr>
                <w:b/>
                <w:bCs/>
                <w:sz w:val="24"/>
                <w:szCs w:val="24"/>
              </w:rPr>
              <w:t>Coherent Execution:</w:t>
            </w:r>
            <w:r w:rsidRPr="00EE6A92">
              <w:rPr>
                <w:sz w:val="24"/>
                <w:szCs w:val="24"/>
              </w:rPr>
              <w:t xml:space="preserve"> Everyone knew how their work linked to TPC’s goals, reducing confusion and misaligned efforts (e.g., country teams executed initiatives consistent with group strategy</w:t>
            </w:r>
            <w:hyperlink r:id="rId203" w:history="1">
              <w:r w:rsidRPr="00EE6A92">
                <w:rPr>
                  <w:color w:val="464FEB"/>
                  <w:sz w:val="24"/>
                  <w:szCs w:val="24"/>
                </w:rPr>
                <w:t>[14]</w:t>
              </w:r>
            </w:hyperlink>
            <w:r w:rsidRPr="00EE6A92">
              <w:rPr>
                <w:sz w:val="24"/>
                <w:szCs w:val="24"/>
              </w:rPr>
              <w:t>).</w:t>
            </w:r>
            <w:r w:rsidRPr="00EE6A92">
              <w:rPr>
                <w:sz w:val="24"/>
                <w:szCs w:val="24"/>
              </w:rPr>
              <w:br/>
              <w:t xml:space="preserve">+ </w:t>
            </w:r>
            <w:r w:rsidRPr="00EE6A92">
              <w:rPr>
                <w:b/>
                <w:bCs/>
                <w:sz w:val="24"/>
                <w:szCs w:val="24"/>
              </w:rPr>
              <w:t>Smoother Change Adoption:</w:t>
            </w:r>
            <w:r w:rsidRPr="00EE6A92">
              <w:rPr>
                <w:sz w:val="24"/>
                <w:szCs w:val="24"/>
              </w:rPr>
              <w:t xml:space="preserve"> Clear explanations of “why we’re doing this” increased acceptance and correct usage of new systems and processes (e.g., higher OKR adoption, constructive engagement with 360° feedback).</w:t>
            </w:r>
            <w:r w:rsidRPr="00EE6A92">
              <w:rPr>
                <w:sz w:val="24"/>
                <w:szCs w:val="24"/>
              </w:rPr>
              <w:br/>
              <w:t xml:space="preserve">+ </w:t>
            </w:r>
            <w:r w:rsidRPr="00EE6A92">
              <w:rPr>
                <w:b/>
                <w:bCs/>
                <w:sz w:val="24"/>
                <w:szCs w:val="24"/>
              </w:rPr>
              <w:t>Strategic Agility:</w:t>
            </w:r>
            <w:r w:rsidRPr="00EE6A92">
              <w:rPr>
                <w:sz w:val="24"/>
                <w:szCs w:val="24"/>
              </w:rPr>
              <w:t xml:space="preserve"> By aligning roles and org structure proactively with strategy, TPC was better positioned to execute new initiatives rapidly (no waiting for re-org fixes mid-stream). Alignment check-ins allowed quick adjustments to stay on course toward objectives.</w:t>
            </w:r>
          </w:p>
        </w:tc>
      </w:tr>
      <w:tr w:rsidR="00EE6A92" w:rsidRPr="00EE6A92" w14:paraId="36225B2C" w14:textId="77777777">
        <w:trPr>
          <w:tblCellSpacing w:w="15" w:type="dxa"/>
        </w:trPr>
        <w:tc>
          <w:tcPr>
            <w:tcW w:w="0" w:type="auto"/>
            <w:vAlign w:val="center"/>
            <w:hideMark/>
          </w:tcPr>
          <w:p w14:paraId="57FF564E" w14:textId="77777777" w:rsidR="00EE6A92" w:rsidRPr="00EE6A92" w:rsidRDefault="00EE6A92" w:rsidP="00EE6A92">
            <w:pPr>
              <w:rPr>
                <w:sz w:val="24"/>
                <w:szCs w:val="24"/>
              </w:rPr>
            </w:pPr>
            <w:r w:rsidRPr="00EE6A92">
              <w:rPr>
                <w:b/>
                <w:bCs/>
                <w:sz w:val="24"/>
                <w:szCs w:val="24"/>
              </w:rPr>
              <w:t>Integrity &amp; Accountability</w:t>
            </w:r>
            <w:r w:rsidRPr="00EE6A92">
              <w:rPr>
                <w:sz w:val="24"/>
                <w:szCs w:val="24"/>
              </w:rPr>
              <w:t xml:space="preserve"> </w:t>
            </w:r>
            <w:r w:rsidRPr="00EE6A92">
              <w:rPr>
                <w:sz w:val="24"/>
                <w:szCs w:val="24"/>
              </w:rPr>
              <w:br/>
            </w:r>
            <w:r w:rsidRPr="00EE6A92">
              <w:rPr>
                <w:i/>
                <w:iCs/>
                <w:sz w:val="24"/>
                <w:szCs w:val="24"/>
              </w:rPr>
              <w:t>Ethical management with truthfulness, integrity &amp; accountability</w:t>
            </w:r>
          </w:p>
        </w:tc>
        <w:tc>
          <w:tcPr>
            <w:tcW w:w="0" w:type="auto"/>
            <w:vAlign w:val="center"/>
            <w:hideMark/>
          </w:tcPr>
          <w:p w14:paraId="799EC83F" w14:textId="77777777" w:rsidR="00EE6A92" w:rsidRPr="00EE6A92" w:rsidRDefault="00EE6A92" w:rsidP="00EE6A92">
            <w:pPr>
              <w:rPr>
                <w:sz w:val="24"/>
                <w:szCs w:val="24"/>
              </w:rPr>
            </w:pPr>
            <w:r w:rsidRPr="00EE6A92">
              <w:rPr>
                <w:sz w:val="24"/>
                <w:szCs w:val="24"/>
              </w:rPr>
              <w:t>– Adhered to governance in resource use (sought formal approvals and documented deliverables for project spending)</w:t>
            </w:r>
            <w:hyperlink r:id="rId204" w:history="1">
              <w:r w:rsidRPr="00EE6A92">
                <w:rPr>
                  <w:color w:val="464FEB"/>
                  <w:sz w:val="24"/>
                  <w:szCs w:val="24"/>
                </w:rPr>
                <w:t>[9]</w:t>
              </w:r>
            </w:hyperlink>
            <w:r w:rsidRPr="00EE6A92">
              <w:rPr>
                <w:sz w:val="24"/>
                <w:szCs w:val="24"/>
              </w:rPr>
              <w:t>.</w:t>
            </w:r>
            <w:r w:rsidRPr="00EE6A92">
              <w:rPr>
                <w:sz w:val="24"/>
                <w:szCs w:val="24"/>
              </w:rPr>
              <w:br/>
              <w:t>– Ensured truthfulness in communications (reported setbacks or changes honestly, e.g. need to re-run AI model); corrected inaccuracies (e.g. name spelling) to preserve authenticity</w:t>
            </w:r>
            <w:hyperlink r:id="rId205" w:history="1">
              <w:r w:rsidRPr="00EE6A92">
                <w:rPr>
                  <w:color w:val="464FEB"/>
                  <w:sz w:val="24"/>
                  <w:szCs w:val="24"/>
                </w:rPr>
                <w:t>[16]</w:t>
              </w:r>
            </w:hyperlink>
            <w:r w:rsidRPr="00EE6A92">
              <w:rPr>
                <w:sz w:val="24"/>
                <w:szCs w:val="24"/>
              </w:rPr>
              <w:t>.</w:t>
            </w:r>
            <w:r w:rsidRPr="00EE6A92">
              <w:rPr>
                <w:sz w:val="24"/>
                <w:szCs w:val="24"/>
              </w:rPr>
              <w:br/>
              <w:t>– Protected confidentiality and data privacy (360° feedback via third-party with no direct P\&amp;O access)</w:t>
            </w:r>
            <w:hyperlink r:id="rId206" w:history="1">
              <w:r w:rsidRPr="00EE6A92">
                <w:rPr>
                  <w:color w:val="464FEB"/>
                  <w:sz w:val="24"/>
                  <w:szCs w:val="24"/>
                </w:rPr>
                <w:t>[5]</w:t>
              </w:r>
            </w:hyperlink>
            <w:r w:rsidRPr="00EE6A92">
              <w:rPr>
                <w:sz w:val="24"/>
                <w:szCs w:val="24"/>
              </w:rPr>
              <w:t>.</w:t>
            </w:r>
            <w:r w:rsidRPr="00EE6A92">
              <w:rPr>
                <w:sz w:val="24"/>
                <w:szCs w:val="24"/>
              </w:rPr>
              <w:br/>
              <w:t>– Accepted responsibility and delivered on commitments (updated his own role scope per feedback</w:t>
            </w:r>
            <w:hyperlink r:id="rId207" w:history="1">
              <w:r w:rsidRPr="00EE6A92">
                <w:rPr>
                  <w:color w:val="464FEB"/>
                  <w:sz w:val="24"/>
                  <w:szCs w:val="24"/>
                </w:rPr>
                <w:t>[15]</w:t>
              </w:r>
            </w:hyperlink>
            <w:r w:rsidRPr="00EE6A92">
              <w:rPr>
                <w:sz w:val="24"/>
                <w:szCs w:val="24"/>
              </w:rPr>
              <w:t>; met deadlines for key rollouts and followed through on tasks).</w:t>
            </w:r>
          </w:p>
        </w:tc>
        <w:tc>
          <w:tcPr>
            <w:tcW w:w="0" w:type="auto"/>
            <w:vAlign w:val="center"/>
            <w:hideMark/>
          </w:tcPr>
          <w:p w14:paraId="5B7517E4" w14:textId="77777777" w:rsidR="00EE6A92" w:rsidRPr="00EE6A92" w:rsidRDefault="00EE6A92" w:rsidP="00EE6A92">
            <w:pPr>
              <w:rPr>
                <w:sz w:val="24"/>
                <w:szCs w:val="24"/>
              </w:rPr>
            </w:pPr>
            <w:r w:rsidRPr="00EE6A92">
              <w:rPr>
                <w:sz w:val="24"/>
                <w:szCs w:val="24"/>
              </w:rPr>
              <w:t xml:space="preserve">+ </w:t>
            </w:r>
            <w:r w:rsidRPr="00EE6A92">
              <w:rPr>
                <w:b/>
                <w:bCs/>
                <w:sz w:val="24"/>
                <w:szCs w:val="24"/>
              </w:rPr>
              <w:t>Trustworthy Change Environment:</w:t>
            </w:r>
            <w:r w:rsidRPr="00EE6A92">
              <w:rPr>
                <w:sz w:val="24"/>
                <w:szCs w:val="24"/>
              </w:rPr>
              <w:t xml:space="preserve"> Employees and partners felt the transformation was being managed ethically, increasing their willingness to go along with changes (confidence that there’s no hidden agenda or manipulation).</w:t>
            </w:r>
            <w:r w:rsidRPr="00EE6A92">
              <w:rPr>
                <w:sz w:val="24"/>
                <w:szCs w:val="24"/>
              </w:rPr>
              <w:br/>
              <w:t xml:space="preserve">+ </w:t>
            </w:r>
            <w:r w:rsidRPr="00EE6A92">
              <w:rPr>
                <w:b/>
                <w:bCs/>
                <w:sz w:val="24"/>
                <w:szCs w:val="24"/>
              </w:rPr>
              <w:t>Risk Mitigation:</w:t>
            </w:r>
            <w:r w:rsidRPr="00EE6A92">
              <w:rPr>
                <w:sz w:val="24"/>
                <w:szCs w:val="24"/>
              </w:rPr>
              <w:t xml:space="preserve"> Transparent finances and process integrity prevented scandals or compliance issues that could derail transformation (all projects passed audits of fairness/accuracy).</w:t>
            </w:r>
            <w:r w:rsidRPr="00EE6A92">
              <w:rPr>
                <w:sz w:val="24"/>
                <w:szCs w:val="24"/>
              </w:rPr>
              <w:br/>
              <w:t xml:space="preserve">+ </w:t>
            </w:r>
            <w:r w:rsidRPr="00EE6A92">
              <w:rPr>
                <w:b/>
                <w:bCs/>
                <w:sz w:val="24"/>
                <w:szCs w:val="24"/>
              </w:rPr>
              <w:t>High Engagement:</w:t>
            </w:r>
            <w:r w:rsidRPr="00EE6A92">
              <w:rPr>
                <w:sz w:val="24"/>
                <w:szCs w:val="24"/>
              </w:rPr>
              <w:t xml:space="preserve"> Accountability from leadership (Employee A himself meeting obligations) encouraged a culture of accountability – others followed suit in completing OKRs, updating systems, etc., keeping the transformation timeline largely on track.</w:t>
            </w:r>
            <w:r w:rsidRPr="00EE6A92">
              <w:rPr>
                <w:sz w:val="24"/>
                <w:szCs w:val="24"/>
              </w:rPr>
              <w:br/>
              <w:t xml:space="preserve">+ </w:t>
            </w:r>
            <w:r w:rsidRPr="00EE6A92">
              <w:rPr>
                <w:b/>
                <w:bCs/>
                <w:sz w:val="24"/>
                <w:szCs w:val="24"/>
              </w:rPr>
              <w:t>Reputation Enhanced:</w:t>
            </w:r>
            <w:r w:rsidRPr="00EE6A92">
              <w:rPr>
                <w:sz w:val="24"/>
                <w:szCs w:val="24"/>
              </w:rPr>
              <w:t xml:space="preserve"> TPC’s reputation as a principled organization was reinforced during the transformation, helping maintain stakeholder support (investors, employees) even amid major changes.</w:t>
            </w:r>
          </w:p>
        </w:tc>
      </w:tr>
    </w:tbl>
    <w:p w14:paraId="5F107C8D" w14:textId="77777777" w:rsidR="00EE6A92" w:rsidRPr="00EE6A92" w:rsidRDefault="00EE6A92" w:rsidP="00EE6A92">
      <w:pPr>
        <w:spacing w:before="100" w:beforeAutospacing="1" w:after="100" w:afterAutospacing="1" w:line="300" w:lineRule="atLeast"/>
        <w:rPr>
          <w:rFonts w:ascii="Segoe UI" w:hAnsi="Segoe UI" w:cs="Segoe UI"/>
          <w:sz w:val="21"/>
          <w:szCs w:val="21"/>
        </w:rPr>
      </w:pPr>
      <w:r w:rsidRPr="00EE6A92">
        <w:rPr>
          <w:rFonts w:ascii="Segoe UI" w:hAnsi="Segoe UI" w:cs="Segoe UI"/>
          <w:sz w:val="21"/>
          <w:szCs w:val="21"/>
        </w:rPr>
        <w:t xml:space="preserve">In summary, </w:t>
      </w:r>
      <w:r w:rsidRPr="00EE6A92">
        <w:rPr>
          <w:rFonts w:ascii="Segoe UI" w:hAnsi="Segoe UI" w:cs="Segoe UI"/>
          <w:b/>
          <w:bCs/>
          <w:sz w:val="21"/>
          <w:szCs w:val="21"/>
        </w:rPr>
        <w:t>Employee A’s leadership in 2025 strongly reflected Quantum Leadership attributes</w:t>
      </w:r>
      <w:r w:rsidRPr="00EE6A92">
        <w:rPr>
          <w:rFonts w:ascii="Segoe UI" w:hAnsi="Segoe UI" w:cs="Segoe UI"/>
          <w:sz w:val="21"/>
          <w:szCs w:val="21"/>
        </w:rPr>
        <w:t xml:space="preserve">, which significantly advanced TPC’s transformation agenda. He aligned every effort with the company’s higher purpose, uplifted the people driving the change, confidently led by example, and championed collaboration and integrity at every step. These </w:t>
      </w:r>
      <w:proofErr w:type="spellStart"/>
      <w:r w:rsidRPr="00EE6A92">
        <w:rPr>
          <w:rFonts w:ascii="Segoe UI" w:hAnsi="Segoe UI" w:cs="Segoe UI"/>
          <w:sz w:val="21"/>
          <w:szCs w:val="21"/>
        </w:rPr>
        <w:t>behaviors</w:t>
      </w:r>
      <w:proofErr w:type="spellEnd"/>
      <w:r w:rsidRPr="00EE6A92">
        <w:rPr>
          <w:rFonts w:ascii="Segoe UI" w:hAnsi="Segoe UI" w:cs="Segoe UI"/>
          <w:sz w:val="21"/>
          <w:szCs w:val="21"/>
        </w:rPr>
        <w:t xml:space="preserve"> not only delivered tangible transformation outcomes (digital systems, new programs, streamlined processes) but also strengthened TPC’s organizational culture and capacity to continue evolving. Employee A’s ability to balance </w:t>
      </w:r>
      <w:r w:rsidRPr="00EE6A92">
        <w:rPr>
          <w:rFonts w:ascii="Segoe UI" w:hAnsi="Segoe UI" w:cs="Segoe UI"/>
          <w:b/>
          <w:bCs/>
          <w:sz w:val="21"/>
          <w:szCs w:val="21"/>
        </w:rPr>
        <w:t>visionary drive</w:t>
      </w:r>
      <w:r w:rsidRPr="00EE6A92">
        <w:rPr>
          <w:rFonts w:ascii="Segoe UI" w:hAnsi="Segoe UI" w:cs="Segoe UI"/>
          <w:sz w:val="21"/>
          <w:szCs w:val="21"/>
        </w:rPr>
        <w:t xml:space="preserve"> with </w:t>
      </w:r>
      <w:r w:rsidRPr="00EE6A92">
        <w:rPr>
          <w:rFonts w:ascii="Segoe UI" w:hAnsi="Segoe UI" w:cs="Segoe UI"/>
          <w:b/>
          <w:bCs/>
          <w:sz w:val="21"/>
          <w:szCs w:val="21"/>
        </w:rPr>
        <w:t>ethical, people-centric leadership</w:t>
      </w:r>
      <w:r w:rsidRPr="00EE6A92">
        <w:rPr>
          <w:rFonts w:ascii="Segoe UI" w:hAnsi="Segoe UI" w:cs="Segoe UI"/>
          <w:sz w:val="21"/>
          <w:szCs w:val="21"/>
        </w:rPr>
        <w:t xml:space="preserve"> made him a linchpin of TPC’s successful navigation of macroeconomic and technological shifts in 2025. The result was a transformation achieved not just in strategy and operations, but in hearts and minds – positioning TPC for sustained success in the years ahead.</w:t>
      </w:r>
      <w:hyperlink r:id="rId208" w:history="1">
        <w:r w:rsidRPr="00EE6A92">
          <w:rPr>
            <w:rFonts w:ascii="Segoe UI" w:hAnsi="Segoe UI" w:cs="Segoe UI"/>
            <w:color w:val="464FEB"/>
            <w:sz w:val="21"/>
            <w:szCs w:val="21"/>
          </w:rPr>
          <w:t>[2]</w:t>
        </w:r>
      </w:hyperlink>
    </w:p>
    <w:p w14:paraId="168717B3" w14:textId="77777777" w:rsidR="00EE6A92" w:rsidRPr="00EE6A92" w:rsidRDefault="00EE6A92" w:rsidP="00EE6A92">
      <w:pPr>
        <w:spacing w:line="300" w:lineRule="atLeast"/>
        <w:rPr>
          <w:rFonts w:ascii="Segoe UI Semibold" w:hAnsi="Segoe UI Semibold" w:cs="Segoe UI Semibold"/>
          <w:b/>
          <w:bCs/>
          <w:sz w:val="18"/>
          <w:szCs w:val="18"/>
        </w:rPr>
      </w:pPr>
      <w:r w:rsidRPr="00EE6A92">
        <w:rPr>
          <w:rFonts w:ascii="Segoe UI Semibold" w:hAnsi="Segoe UI Semibold" w:cs="Segoe UI Semibold"/>
          <w:b/>
          <w:bCs/>
          <w:sz w:val="18"/>
          <w:szCs w:val="18"/>
        </w:rPr>
        <w:br/>
        <w:t>References</w:t>
      </w:r>
    </w:p>
    <w:p w14:paraId="57A4E5C6"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 </w:t>
      </w:r>
      <w:hyperlink r:id="rId209" w:history="1">
        <w:r w:rsidRPr="00EE6A92">
          <w:rPr>
            <w:rFonts w:ascii="Segoe UI" w:hAnsi="Segoe UI" w:cs="Segoe UI"/>
            <w:color w:val="464FEB"/>
            <w:sz w:val="21"/>
            <w:szCs w:val="21"/>
          </w:rPr>
          <w:t>RE: The Alignment Advantage</w:t>
        </w:r>
      </w:hyperlink>
    </w:p>
    <w:p w14:paraId="6C0FBC29"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[2] </w:t>
      </w:r>
      <w:hyperlink r:id="rId210" w:history="1">
        <w:r w:rsidRPr="00EE6A92">
          <w:rPr>
            <w:rFonts w:ascii="Segoe UI" w:hAnsi="Segoe UI" w:cs="Segoe UI"/>
            <w:color w:val="464FEB"/>
            <w:sz w:val="21"/>
            <w:szCs w:val="21"/>
          </w:rPr>
          <w:t>Kenneth Tan in chat</w:t>
        </w:r>
      </w:hyperlink>
    </w:p>
    <w:p w14:paraId="32B26BEE"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[3] </w:t>
      </w:r>
      <w:hyperlink r:id="rId211" w:history="1">
        <w:proofErr w:type="spellStart"/>
        <w:r w:rsidRPr="00EE6A92">
          <w:rPr>
            <w:rFonts w:ascii="Segoe UI" w:hAnsi="Segoe UI" w:cs="Segoe UI"/>
            <w:color w:val="464FEB"/>
            <w:sz w:val="21"/>
            <w:szCs w:val="21"/>
          </w:rPr>
          <w:t>Fw</w:t>
        </w:r>
        <w:proofErr w:type="spellEnd"/>
        <w:r w:rsidRPr="00EE6A92">
          <w:rPr>
            <w:rFonts w:ascii="Segoe UI" w:hAnsi="Segoe UI" w:cs="Segoe UI"/>
            <w:color w:val="464FEB"/>
            <w:sz w:val="21"/>
            <w:szCs w:val="21"/>
          </w:rPr>
          <w:t>: GMW 7 Planning</w:t>
        </w:r>
      </w:hyperlink>
    </w:p>
    <w:p w14:paraId="01E346D5"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[4] </w:t>
      </w:r>
      <w:hyperlink r:id="rId212" w:history="1">
        <w:r w:rsidRPr="00EE6A92">
          <w:rPr>
            <w:rFonts w:ascii="Segoe UI" w:hAnsi="Segoe UI" w:cs="Segoe UI"/>
            <w:color w:val="464FEB"/>
            <w:sz w:val="21"/>
            <w:szCs w:val="21"/>
          </w:rPr>
          <w:t>OCTAVE Institute Org Chart Proposed as of 19 March 2025</w:t>
        </w:r>
      </w:hyperlink>
    </w:p>
    <w:p w14:paraId="072103CB"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[5] </w:t>
      </w:r>
      <w:hyperlink r:id="rId213" w:history="1">
        <w:r w:rsidRPr="00EE6A92">
          <w:rPr>
            <w:rFonts w:ascii="Segoe UI" w:hAnsi="Segoe UI" w:cs="Segoe UI"/>
            <w:color w:val="464FEB"/>
            <w:sz w:val="21"/>
            <w:szCs w:val="21"/>
          </w:rPr>
          <w:t>Leading with Insight: 360-Degree Feedback Survey</w:t>
        </w:r>
      </w:hyperlink>
    </w:p>
    <w:p w14:paraId="189B2EE2"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[6] </w:t>
      </w:r>
      <w:hyperlink r:id="rId214" w:history="1">
        <w:r w:rsidRPr="00EE6A92">
          <w:rPr>
            <w:rFonts w:ascii="Segoe UI" w:hAnsi="Segoe UI" w:cs="Segoe UI"/>
            <w:color w:val="464FEB"/>
            <w:sz w:val="21"/>
            <w:szCs w:val="21"/>
          </w:rPr>
          <w:t>Completed PCG Form for Kenneth Tan</w:t>
        </w:r>
      </w:hyperlink>
    </w:p>
    <w:p w14:paraId="14625E0D"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[7] </w:t>
      </w:r>
      <w:hyperlink r:id="rId215" w:history="1">
        <w:r w:rsidRPr="00EE6A92">
          <w:rPr>
            <w:rFonts w:ascii="Segoe UI" w:hAnsi="Segoe UI" w:cs="Segoe UI"/>
            <w:color w:val="464FEB"/>
            <w:sz w:val="21"/>
            <w:szCs w:val="21"/>
          </w:rPr>
          <w:t>GMW 7 Facilitators</w:t>
        </w:r>
      </w:hyperlink>
    </w:p>
    <w:p w14:paraId="1CBEC7AB"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[8] </w:t>
      </w:r>
      <w:hyperlink r:id="rId216" w:history="1">
        <w:r w:rsidRPr="00EE6A92">
          <w:rPr>
            <w:rFonts w:ascii="Segoe UI" w:hAnsi="Segoe UI" w:cs="Segoe UI"/>
            <w:color w:val="464FEB"/>
            <w:sz w:val="21"/>
            <w:szCs w:val="21"/>
          </w:rPr>
          <w:t>Octave Institute GOC Updates 9 Mar 2024</w:t>
        </w:r>
      </w:hyperlink>
    </w:p>
    <w:p w14:paraId="5DFEAA06"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[9] </w:t>
      </w:r>
      <w:hyperlink r:id="rId217" w:history="1">
        <w:r w:rsidRPr="00EE6A92">
          <w:rPr>
            <w:rFonts w:ascii="Segoe UI" w:hAnsi="Segoe UI" w:cs="Segoe UI"/>
            <w:color w:val="464FEB"/>
            <w:sz w:val="21"/>
            <w:szCs w:val="21"/>
          </w:rPr>
          <w:t>FW: WEGA second milestone invoice to TPC</w:t>
        </w:r>
      </w:hyperlink>
    </w:p>
    <w:p w14:paraId="0DCD8189"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[10] </w:t>
      </w:r>
      <w:hyperlink r:id="rId218" w:history="1">
        <w:r w:rsidRPr="00EE6A92">
          <w:rPr>
            <w:rFonts w:ascii="Segoe UI" w:hAnsi="Segoe UI" w:cs="Segoe UI"/>
            <w:color w:val="464FEB"/>
            <w:sz w:val="21"/>
            <w:szCs w:val="21"/>
          </w:rPr>
          <w:t>Re: Thanks for the time and next steps</w:t>
        </w:r>
      </w:hyperlink>
    </w:p>
    <w:p w14:paraId="1FEF1C5E"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[11] </w:t>
      </w:r>
      <w:hyperlink r:id="rId219" w:history="1">
        <w:proofErr w:type="spellStart"/>
        <w:r w:rsidRPr="00EE6A92">
          <w:rPr>
            <w:rFonts w:ascii="Segoe UI" w:hAnsi="Segoe UI" w:cs="Segoe UI"/>
            <w:color w:val="464FEB"/>
            <w:sz w:val="21"/>
            <w:szCs w:val="21"/>
          </w:rPr>
          <w:t>Fw</w:t>
        </w:r>
        <w:proofErr w:type="spellEnd"/>
        <w:r w:rsidRPr="00EE6A92">
          <w:rPr>
            <w:rFonts w:ascii="Segoe UI" w:hAnsi="Segoe UI" w:cs="Segoe UI"/>
            <w:color w:val="464FEB"/>
            <w:sz w:val="21"/>
            <w:szCs w:val="21"/>
          </w:rPr>
          <w:t>: [For Kenneth pl] Mindful Male Leadership Program FW: Proposal for Facilitating at MEP Closing Retreat June 2025</w:t>
        </w:r>
      </w:hyperlink>
    </w:p>
    <w:p w14:paraId="33201372"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[12] </w:t>
      </w:r>
      <w:hyperlink r:id="rId220" w:history="1">
        <w:r w:rsidRPr="00EE6A92">
          <w:rPr>
            <w:rFonts w:ascii="Segoe UI" w:hAnsi="Segoe UI" w:cs="Segoe UI"/>
            <w:color w:val="464FEB"/>
            <w:sz w:val="21"/>
            <w:szCs w:val="21"/>
          </w:rPr>
          <w:t>Re: Hello from William Koo!</w:t>
        </w:r>
      </w:hyperlink>
    </w:p>
    <w:p w14:paraId="7096D953"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[13] </w:t>
      </w:r>
      <w:hyperlink r:id="rId221" w:history="1">
        <w:r w:rsidRPr="00EE6A92">
          <w:rPr>
            <w:rFonts w:ascii="Segoe UI" w:hAnsi="Segoe UI" w:cs="Segoe UI"/>
            <w:color w:val="464FEB"/>
            <w:sz w:val="21"/>
            <w:szCs w:val="21"/>
          </w:rPr>
          <w:t>Re: [For comments] 360 Feedback email blast</w:t>
        </w:r>
      </w:hyperlink>
    </w:p>
    <w:p w14:paraId="661C27FB"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[14] </w:t>
      </w:r>
      <w:hyperlink r:id="rId222" w:history="1">
        <w:r w:rsidRPr="00EE6A92">
          <w:rPr>
            <w:rFonts w:ascii="Segoe UI" w:hAnsi="Segoe UI" w:cs="Segoe UI"/>
            <w:color w:val="464FEB"/>
            <w:sz w:val="21"/>
            <w:szCs w:val="21"/>
          </w:rPr>
          <w:t>Design and planning session in prep for OKR facilitation</w:t>
        </w:r>
      </w:hyperlink>
    </w:p>
    <w:p w14:paraId="6136B880"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[15] </w:t>
      </w:r>
      <w:hyperlink r:id="rId223" w:history="1">
        <w:r w:rsidRPr="00EE6A92">
          <w:rPr>
            <w:rFonts w:ascii="Segoe UI" w:hAnsi="Segoe UI" w:cs="Segoe UI"/>
            <w:color w:val="464FEB"/>
            <w:sz w:val="21"/>
            <w:szCs w:val="21"/>
          </w:rPr>
          <w:t>RE: Action Required : Role Profiles to be updated</w:t>
        </w:r>
      </w:hyperlink>
    </w:p>
    <w:p w14:paraId="0B50EB0F"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[16] </w:t>
      </w:r>
      <w:hyperlink r:id="rId224" w:history="1">
        <w:r w:rsidRPr="00EE6A92">
          <w:rPr>
            <w:rFonts w:ascii="Segoe UI" w:hAnsi="Segoe UI" w:cs="Segoe UI"/>
            <w:color w:val="464FEB"/>
            <w:sz w:val="21"/>
            <w:szCs w:val="21"/>
          </w:rPr>
          <w:t>RE: 2025 DIAMOND DAY CELEBRATION</w:t>
        </w:r>
      </w:hyperlink>
    </w:p>
    <w:p w14:paraId="3A5648C9" w14:textId="77777777" w:rsidR="00EE6A92" w:rsidRPr="00EE6A92" w:rsidRDefault="00EE6A92" w:rsidP="00EE6A92">
      <w:pPr>
        <w:spacing w:line="300" w:lineRule="atLeast"/>
        <w:rPr>
          <w:rFonts w:ascii="Segoe UI" w:hAnsi="Segoe UI" w:cs="Segoe UI"/>
          <w:sz w:val="21"/>
          <w:szCs w:val="21"/>
        </w:rPr>
      </w:pPr>
      <w:r w:rsidRPr="00EE6A92">
        <w:rPr>
          <w:rFonts w:ascii="Segoe UI" w:hAnsi="Segoe UI" w:cs="Segoe UI"/>
          <w:sz w:val="21"/>
          <w:szCs w:val="21"/>
        </w:rPr>
        <w:t xml:space="preserve">[17] </w:t>
      </w:r>
      <w:hyperlink r:id="rId225" w:history="1">
        <w:r w:rsidRPr="00EE6A92">
          <w:rPr>
            <w:rFonts w:ascii="Segoe UI" w:hAnsi="Segoe UI" w:cs="Segoe UI"/>
            <w:color w:val="464FEB"/>
            <w:sz w:val="21"/>
            <w:szCs w:val="21"/>
          </w:rPr>
          <w:t xml:space="preserve">Re: Thank you for joining us for </w:t>
        </w:r>
        <w:proofErr w:type="spellStart"/>
        <w:r w:rsidRPr="00EE6A92">
          <w:rPr>
            <w:rFonts w:ascii="Segoe UI" w:hAnsi="Segoe UI" w:cs="Segoe UI"/>
            <w:color w:val="464FEB"/>
            <w:sz w:val="21"/>
            <w:szCs w:val="21"/>
          </w:rPr>
          <w:t>Majurity</w:t>
        </w:r>
        <w:proofErr w:type="spellEnd"/>
        <w:r w:rsidRPr="00EE6A92">
          <w:rPr>
            <w:rFonts w:ascii="Segoe UI" w:hAnsi="Segoe UI" w:cs="Segoe UI"/>
            <w:color w:val="464FEB"/>
            <w:sz w:val="21"/>
            <w:szCs w:val="21"/>
          </w:rPr>
          <w:t xml:space="preserve"> Charity Invitational 2024</w:t>
        </w:r>
      </w:hyperlink>
    </w:p>
    <w:p w14:paraId="08C27E7E" w14:textId="77777777" w:rsidR="00C738C5" w:rsidRPr="00C738C5" w:rsidRDefault="00C738C5" w:rsidP="00C738C5">
      <w:pPr>
        <w:spacing w:before="100" w:beforeAutospacing="1" w:after="100" w:afterAutospacing="1" w:line="300" w:lineRule="atLeast"/>
        <w:outlineLvl w:val="0"/>
        <w:rPr>
          <w:rFonts w:ascii="Segoe UI" w:hAnsi="Segoe UI" w:cs="Segoe UI"/>
          <w:b/>
          <w:bCs/>
          <w:kern w:val="36"/>
          <w:sz w:val="48"/>
          <w:szCs w:val="48"/>
        </w:rPr>
      </w:pPr>
      <w:r w:rsidRPr="00C738C5">
        <w:rPr>
          <w:rFonts w:ascii="Segoe UI" w:hAnsi="Segoe UI" w:cs="Segoe UI"/>
          <w:b/>
          <w:bCs/>
          <w:kern w:val="36"/>
          <w:sz w:val="48"/>
          <w:szCs w:val="48"/>
        </w:rPr>
        <w:t>Employee A’s 2025 Quantum Leadership Attributes – Further Assessment</w:t>
      </w:r>
    </w:p>
    <w:p w14:paraId="287B5CC0"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Dr. </w:t>
      </w:r>
      <w:r w:rsidRPr="00C738C5">
        <w:rPr>
          <w:rFonts w:ascii="Segoe UI" w:hAnsi="Segoe UI" w:cs="Segoe UI"/>
          <w:b/>
          <w:bCs/>
          <w:sz w:val="21"/>
          <w:szCs w:val="21"/>
        </w:rPr>
        <w:t>Employee A</w:t>
      </w:r>
      <w:r w:rsidRPr="00C738C5">
        <w:rPr>
          <w:rFonts w:ascii="Segoe UI" w:hAnsi="Segoe UI" w:cs="Segoe UI"/>
          <w:sz w:val="21"/>
          <w:szCs w:val="21"/>
        </w:rPr>
        <w:t xml:space="preserve"> exhibited strong </w:t>
      </w:r>
      <w:r w:rsidRPr="00C738C5">
        <w:rPr>
          <w:rFonts w:ascii="Segoe UI" w:hAnsi="Segoe UI" w:cs="Segoe UI"/>
          <w:i/>
          <w:iCs/>
          <w:sz w:val="21"/>
          <w:szCs w:val="21"/>
        </w:rPr>
        <w:t>Quantum Leadership</w:t>
      </w:r>
      <w:r w:rsidRPr="00C738C5">
        <w:rPr>
          <w:rFonts w:ascii="Segoe UI" w:hAnsi="Segoe UI" w:cs="Segoe UI"/>
          <w:sz w:val="21"/>
          <w:szCs w:val="21"/>
        </w:rPr>
        <w:t xml:space="preserve"> qualities throughout 2025, significantly contributing to TPC’s transformation. This assessment examines four specific dimensions of his leadership:</w:t>
      </w:r>
    </w:p>
    <w:p w14:paraId="1FA1F556" w14:textId="77777777" w:rsidR="00C738C5" w:rsidRPr="00C738C5" w:rsidRDefault="00C738C5" w:rsidP="00C738C5">
      <w:pPr>
        <w:numPr>
          <w:ilvl w:val="0"/>
          <w:numId w:val="24"/>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Analytical Mindset</w:t>
      </w:r>
      <w:r w:rsidRPr="00C738C5">
        <w:rPr>
          <w:rFonts w:ascii="Segoe UI" w:hAnsi="Segoe UI" w:cs="Segoe UI"/>
          <w:sz w:val="21"/>
          <w:szCs w:val="21"/>
        </w:rPr>
        <w:t xml:space="preserve"> – Seeking diverse perspectives and turning ideas into results.</w:t>
      </w:r>
    </w:p>
    <w:p w14:paraId="234DB7F0" w14:textId="77777777" w:rsidR="00C738C5" w:rsidRPr="00C738C5" w:rsidRDefault="00C738C5" w:rsidP="00C738C5">
      <w:pPr>
        <w:numPr>
          <w:ilvl w:val="0"/>
          <w:numId w:val="24"/>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Action Mindset</w:t>
      </w:r>
      <w:r w:rsidRPr="00C738C5">
        <w:rPr>
          <w:rFonts w:ascii="Segoe UI" w:hAnsi="Segoe UI" w:cs="Segoe UI"/>
          <w:sz w:val="21"/>
          <w:szCs w:val="21"/>
        </w:rPr>
        <w:t xml:space="preserve"> – Embracing ambiguity, seizing opportunities, and persevering.</w:t>
      </w:r>
    </w:p>
    <w:p w14:paraId="779647E7" w14:textId="77777777" w:rsidR="00C738C5" w:rsidRPr="00C738C5" w:rsidRDefault="00C738C5" w:rsidP="00C738C5">
      <w:pPr>
        <w:numPr>
          <w:ilvl w:val="0"/>
          <w:numId w:val="24"/>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Personal Growth &amp; Purpose</w:t>
      </w:r>
      <w:r w:rsidRPr="00C738C5">
        <w:rPr>
          <w:rFonts w:ascii="Segoe UI" w:hAnsi="Segoe UI" w:cs="Segoe UI"/>
          <w:sz w:val="21"/>
          <w:szCs w:val="21"/>
        </w:rPr>
        <w:t xml:space="preserve"> – Proactively developing himself and maintaining clarity of purpose.</w:t>
      </w:r>
    </w:p>
    <w:p w14:paraId="5B516154" w14:textId="77777777" w:rsidR="00C738C5" w:rsidRPr="00C738C5" w:rsidRDefault="00C738C5" w:rsidP="00C738C5">
      <w:pPr>
        <w:numPr>
          <w:ilvl w:val="0"/>
          <w:numId w:val="24"/>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Worldview Mindset</w:t>
      </w:r>
      <w:r w:rsidRPr="00C738C5">
        <w:rPr>
          <w:rFonts w:ascii="Segoe UI" w:hAnsi="Segoe UI" w:cs="Segoe UI"/>
          <w:sz w:val="21"/>
          <w:szCs w:val="21"/>
        </w:rPr>
        <w:t xml:space="preserve"> – Considering broader impact and maintaining a positive, big-picture outlook.</w:t>
      </w:r>
    </w:p>
    <w:p w14:paraId="5C0FA975"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Each section below provides evidence of Employee A’s </w:t>
      </w:r>
      <w:proofErr w:type="spellStart"/>
      <w:r w:rsidRPr="00C738C5">
        <w:rPr>
          <w:rFonts w:ascii="Segoe UI" w:hAnsi="Segoe UI" w:cs="Segoe UI"/>
          <w:sz w:val="21"/>
          <w:szCs w:val="21"/>
        </w:rPr>
        <w:t>behaviors</w:t>
      </w:r>
      <w:proofErr w:type="spellEnd"/>
      <w:r w:rsidRPr="00C738C5">
        <w:rPr>
          <w:rFonts w:ascii="Segoe UI" w:hAnsi="Segoe UI" w:cs="Segoe UI"/>
          <w:sz w:val="21"/>
          <w:szCs w:val="21"/>
        </w:rPr>
        <w:t xml:space="preserve"> in 2025 for these attributes, followed by how they advanced TPC’s transformation efforts. A summary table at the end maps each attribute to key </w:t>
      </w:r>
      <w:proofErr w:type="spellStart"/>
      <w:r w:rsidRPr="00C738C5">
        <w:rPr>
          <w:rFonts w:ascii="Segoe UI" w:hAnsi="Segoe UI" w:cs="Segoe UI"/>
          <w:sz w:val="21"/>
          <w:szCs w:val="21"/>
        </w:rPr>
        <w:t>behaviors</w:t>
      </w:r>
      <w:proofErr w:type="spellEnd"/>
      <w:r w:rsidRPr="00C738C5">
        <w:rPr>
          <w:rFonts w:ascii="Segoe UI" w:hAnsi="Segoe UI" w:cs="Segoe UI"/>
          <w:sz w:val="21"/>
          <w:szCs w:val="21"/>
        </w:rPr>
        <w:t xml:space="preserve"> and outcomes.</w:t>
      </w:r>
    </w:p>
    <w:p w14:paraId="5FE4D474" w14:textId="77777777" w:rsidR="00C738C5" w:rsidRPr="00C738C5" w:rsidRDefault="00977BB2" w:rsidP="00C738C5">
      <w:pPr>
        <w:spacing w:line="300" w:lineRule="atLeast"/>
        <w:rPr>
          <w:rFonts w:ascii="Segoe UI" w:hAnsi="Segoe UI" w:cs="Segoe UI"/>
          <w:sz w:val="21"/>
          <w:szCs w:val="21"/>
        </w:rPr>
      </w:pPr>
      <w:r>
        <w:rPr>
          <w:rFonts w:ascii="Segoe UI" w:hAnsi="Segoe UI" w:cs="Segoe UI"/>
          <w:sz w:val="21"/>
          <w:szCs w:val="21"/>
        </w:rPr>
        <w:pict w14:anchorId="72A624A2">
          <v:rect id="_x0000_i1032" style="width:0;height:1.5pt" o:hralign="center" o:hrstd="t" o:hr="t" fillcolor="#a0a0a0" stroked="f"/>
        </w:pict>
      </w:r>
    </w:p>
    <w:p w14:paraId="68B75602" w14:textId="77777777" w:rsidR="00C738C5" w:rsidRPr="00C738C5" w:rsidRDefault="00C738C5" w:rsidP="00C738C5">
      <w:pPr>
        <w:spacing w:before="100" w:beforeAutospacing="1" w:after="100" w:afterAutospacing="1" w:line="300" w:lineRule="atLeast"/>
        <w:outlineLvl w:val="1"/>
        <w:rPr>
          <w:rFonts w:ascii="Segoe UI" w:hAnsi="Segoe UI" w:cs="Segoe UI"/>
          <w:b/>
          <w:bCs/>
          <w:sz w:val="36"/>
          <w:szCs w:val="36"/>
        </w:rPr>
      </w:pPr>
      <w:r w:rsidRPr="00C738C5">
        <w:rPr>
          <w:rFonts w:ascii="Segoe UI" w:hAnsi="Segoe UI" w:cs="Segoe UI"/>
          <w:b/>
          <w:bCs/>
          <w:sz w:val="36"/>
          <w:szCs w:val="36"/>
        </w:rPr>
        <w:t>1. Analytical Mindset – Seeking Perspectives &amp; Delivering Results</w:t>
      </w:r>
    </w:p>
    <w:p w14:paraId="5C6B6BD5"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Employee A displayed a highly analytical approach to leadership, actively </w:t>
      </w:r>
      <w:r w:rsidRPr="00C738C5">
        <w:rPr>
          <w:rFonts w:ascii="Segoe UI" w:hAnsi="Segoe UI" w:cs="Segoe UI"/>
          <w:b/>
          <w:bCs/>
          <w:sz w:val="21"/>
          <w:szCs w:val="21"/>
        </w:rPr>
        <w:t>soliciting alternative viewpoints</w:t>
      </w:r>
      <w:r w:rsidRPr="00C738C5">
        <w:rPr>
          <w:rFonts w:ascii="Segoe UI" w:hAnsi="Segoe UI" w:cs="Segoe UI"/>
          <w:sz w:val="21"/>
          <w:szCs w:val="21"/>
        </w:rPr>
        <w:t xml:space="preserve"> and then </w:t>
      </w:r>
      <w:r w:rsidRPr="00C738C5">
        <w:rPr>
          <w:rFonts w:ascii="Segoe UI" w:hAnsi="Segoe UI" w:cs="Segoe UI"/>
          <w:b/>
          <w:bCs/>
          <w:sz w:val="21"/>
          <w:szCs w:val="21"/>
        </w:rPr>
        <w:t>translating ideas into practical outcomes</w:t>
      </w:r>
      <w:r w:rsidRPr="00C738C5">
        <w:rPr>
          <w:rFonts w:ascii="Segoe UI" w:hAnsi="Segoe UI" w:cs="Segoe UI"/>
          <w:sz w:val="21"/>
          <w:szCs w:val="21"/>
        </w:rPr>
        <w:t xml:space="preserve"> for TPC. Some key examples:</w:t>
      </w:r>
    </w:p>
    <w:p w14:paraId="2014B3CE" w14:textId="77777777" w:rsidR="00C738C5" w:rsidRPr="00C738C5" w:rsidRDefault="00C738C5" w:rsidP="00C738C5">
      <w:pPr>
        <w:numPr>
          <w:ilvl w:val="0"/>
          <w:numId w:val="25"/>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Integrating External Best Practices:</w:t>
      </w:r>
      <w:r w:rsidRPr="00C738C5">
        <w:rPr>
          <w:rFonts w:ascii="Segoe UI" w:hAnsi="Segoe UI" w:cs="Segoe UI"/>
          <w:sz w:val="21"/>
          <w:szCs w:val="21"/>
        </w:rPr>
        <w:t xml:space="preserve"> Employee A often looked </w:t>
      </w:r>
      <w:r w:rsidRPr="00C738C5">
        <w:rPr>
          <w:rFonts w:ascii="Segoe UI" w:hAnsi="Segoe UI" w:cs="Segoe UI"/>
          <w:b/>
          <w:bCs/>
          <w:sz w:val="21"/>
          <w:szCs w:val="21"/>
        </w:rPr>
        <w:t>beyond TPC</w:t>
      </w:r>
      <w:r w:rsidRPr="00C738C5">
        <w:rPr>
          <w:rFonts w:ascii="Segoe UI" w:hAnsi="Segoe UI" w:cs="Segoe UI"/>
          <w:sz w:val="21"/>
          <w:szCs w:val="21"/>
        </w:rPr>
        <w:t xml:space="preserve"> for insights to improve internal strategy. For instance, while championing TPC’s enterprise AI platform, he drew lessons from Alibaba’s experience. During a May leadership chat, he quoted an Alibaba executive’s advice that </w:t>
      </w:r>
      <w:r w:rsidRPr="00C738C5">
        <w:rPr>
          <w:rFonts w:ascii="Segoe UI" w:hAnsi="Segoe UI" w:cs="Segoe UI"/>
          <w:i/>
          <w:iCs/>
          <w:sz w:val="21"/>
          <w:szCs w:val="21"/>
        </w:rPr>
        <w:t>“system without data won’t work”</w:t>
      </w:r>
      <w:r w:rsidRPr="00C738C5">
        <w:rPr>
          <w:rFonts w:ascii="Segoe UI" w:hAnsi="Segoe UI" w:cs="Segoe UI"/>
          <w:sz w:val="21"/>
          <w:szCs w:val="21"/>
        </w:rPr>
        <w:t xml:space="preserve">. He used this external perspective to bolster his argument for breaking down data silos within TPC. Citing the Chinese tech giant’s journey, Employee A analytically identified that TPC’s AI initiatives needed access to data from all subsidiaries. As a result, he pushed for </w:t>
      </w:r>
      <w:r w:rsidRPr="00C738C5">
        <w:rPr>
          <w:rFonts w:ascii="Segoe UI" w:hAnsi="Segoe UI" w:cs="Segoe UI"/>
          <w:b/>
          <w:bCs/>
          <w:sz w:val="21"/>
          <w:szCs w:val="21"/>
        </w:rPr>
        <w:t>data-sharing policies</w:t>
      </w:r>
      <w:r w:rsidRPr="00C738C5">
        <w:rPr>
          <w:rFonts w:ascii="Segoe UI" w:hAnsi="Segoe UI" w:cs="Segoe UI"/>
          <w:sz w:val="21"/>
          <w:szCs w:val="21"/>
        </w:rPr>
        <w:t xml:space="preserve"> and urged executives to see their operational data as collective assets: </w:t>
      </w:r>
      <w:r w:rsidRPr="00C738C5">
        <w:rPr>
          <w:rFonts w:ascii="Segoe UI" w:hAnsi="Segoe UI" w:cs="Segoe UI"/>
          <w:i/>
          <w:iCs/>
          <w:sz w:val="21"/>
          <w:szCs w:val="21"/>
        </w:rPr>
        <w:t>“Everyone needs to know that they hold data and this data needs to be shared with us…we need data policies to get that data to the central AI data foundation”</w:t>
      </w:r>
      <w:r w:rsidRPr="00C738C5">
        <w:rPr>
          <w:rFonts w:ascii="Segoe UI" w:hAnsi="Segoe UI" w:cs="Segoe UI"/>
          <w:sz w:val="21"/>
          <w:szCs w:val="21"/>
        </w:rPr>
        <w:t xml:space="preserve">. By </w:t>
      </w:r>
      <w:proofErr w:type="spellStart"/>
      <w:r w:rsidRPr="00C738C5">
        <w:rPr>
          <w:rFonts w:ascii="Segoe UI" w:hAnsi="Segoe UI" w:cs="Segoe UI"/>
          <w:sz w:val="21"/>
          <w:szCs w:val="21"/>
        </w:rPr>
        <w:t>analyzing</w:t>
      </w:r>
      <w:proofErr w:type="spellEnd"/>
      <w:r w:rsidRPr="00C738C5">
        <w:rPr>
          <w:rFonts w:ascii="Segoe UI" w:hAnsi="Segoe UI" w:cs="Segoe UI"/>
          <w:sz w:val="21"/>
          <w:szCs w:val="21"/>
        </w:rPr>
        <w:t xml:space="preserve"> Alibaba’s success and TPC’s gaps, Employee A turned an abstract idea – an AI-driven business – into concrete actions like establishing central data repositories and governance rules. This directly led to TPC’s first unified data lake by late 2025, enabling advanced analytics in performance management and other functions.</w:t>
      </w:r>
    </w:p>
    <w:p w14:paraId="5542AF1D" w14:textId="77777777" w:rsidR="00C738C5" w:rsidRPr="00C738C5" w:rsidRDefault="00C738C5" w:rsidP="00C738C5">
      <w:pPr>
        <w:numPr>
          <w:ilvl w:val="0"/>
          <w:numId w:val="25"/>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Gathering Diverse Internal Perspectives:</w:t>
      </w:r>
      <w:r w:rsidRPr="00C738C5">
        <w:rPr>
          <w:rFonts w:ascii="Segoe UI" w:hAnsi="Segoe UI" w:cs="Segoe UI"/>
          <w:sz w:val="21"/>
          <w:szCs w:val="21"/>
        </w:rPr>
        <w:t xml:space="preserve"> Employee A also created forums for </w:t>
      </w:r>
      <w:r w:rsidRPr="00C738C5">
        <w:rPr>
          <w:rFonts w:ascii="Segoe UI" w:hAnsi="Segoe UI" w:cs="Segoe UI"/>
          <w:b/>
          <w:bCs/>
          <w:sz w:val="21"/>
          <w:szCs w:val="21"/>
        </w:rPr>
        <w:t>internal knowledge exchange</w:t>
      </w:r>
      <w:r w:rsidRPr="00C738C5">
        <w:rPr>
          <w:rFonts w:ascii="Segoe UI" w:hAnsi="Segoe UI" w:cs="Segoe UI"/>
          <w:sz w:val="21"/>
          <w:szCs w:val="21"/>
        </w:rPr>
        <w:t xml:space="preserve"> to enrich decision-making. A clear example is how he structured the </w:t>
      </w:r>
      <w:r w:rsidRPr="00C738C5">
        <w:rPr>
          <w:rFonts w:ascii="Segoe UI" w:hAnsi="Segoe UI" w:cs="Segoe UI"/>
          <w:i/>
          <w:iCs/>
          <w:sz w:val="21"/>
          <w:szCs w:val="21"/>
        </w:rPr>
        <w:t>Good Management Workshop (GMW)</w:t>
      </w:r>
      <w:r w:rsidRPr="00C738C5">
        <w:rPr>
          <w:rFonts w:ascii="Segoe UI" w:hAnsi="Segoe UI" w:cs="Segoe UI"/>
          <w:sz w:val="21"/>
          <w:szCs w:val="21"/>
        </w:rPr>
        <w:t xml:space="preserve"> for senior leaders. He arranged for </w:t>
      </w:r>
      <w:r w:rsidRPr="00C738C5">
        <w:rPr>
          <w:rFonts w:ascii="Segoe UI" w:hAnsi="Segoe UI" w:cs="Segoe UI"/>
          <w:i/>
          <w:iCs/>
          <w:sz w:val="21"/>
          <w:szCs w:val="21"/>
        </w:rPr>
        <w:t>“8 persons (10 min each) to share on industry visits”</w:t>
      </w:r>
      <w:r w:rsidRPr="00C738C5">
        <w:rPr>
          <w:rFonts w:ascii="Segoe UI" w:hAnsi="Segoe UI" w:cs="Segoe UI"/>
          <w:sz w:val="21"/>
          <w:szCs w:val="21"/>
        </w:rPr>
        <w:t xml:space="preserve"> during the workshop. By having executives present insights from different industry site visits, Employee A ensured a wide range of perspectives on best practices and trends were considered. These discussions yielded practical takeaways (e.g. new cost-saving ideas from other industries) that Employee A helped incorporate into TPC’s own transformation plans. His analytical leadership here was to </w:t>
      </w:r>
      <w:r w:rsidRPr="00C738C5">
        <w:rPr>
          <w:rFonts w:ascii="Segoe UI" w:hAnsi="Segoe UI" w:cs="Segoe UI"/>
          <w:b/>
          <w:bCs/>
          <w:sz w:val="21"/>
          <w:szCs w:val="21"/>
        </w:rPr>
        <w:t>harness collective intelligence</w:t>
      </w:r>
      <w:r w:rsidRPr="00C738C5">
        <w:rPr>
          <w:rFonts w:ascii="Segoe UI" w:hAnsi="Segoe UI" w:cs="Segoe UI"/>
          <w:sz w:val="21"/>
          <w:szCs w:val="21"/>
        </w:rPr>
        <w:t xml:space="preserve">: rather than relying on a single view, he systematically collected multiple viewpoints, identified common themes, and then guided teams to implement the best ideas. Many of the 24 processes that Employee A later digitized via </w:t>
      </w:r>
      <w:proofErr w:type="spellStart"/>
      <w:r w:rsidRPr="00C738C5">
        <w:rPr>
          <w:rFonts w:ascii="Segoe UI" w:hAnsi="Segoe UI" w:cs="Segoe UI"/>
          <w:sz w:val="21"/>
          <w:szCs w:val="21"/>
        </w:rPr>
        <w:t>Yeeflow</w:t>
      </w:r>
      <w:proofErr w:type="spellEnd"/>
      <w:r w:rsidRPr="00C738C5">
        <w:rPr>
          <w:rFonts w:ascii="Segoe UI" w:hAnsi="Segoe UI" w:cs="Segoe UI"/>
          <w:sz w:val="21"/>
          <w:szCs w:val="21"/>
        </w:rPr>
        <w:t xml:space="preserve"> originated from pain points surfaced in such cross-sharing sessions, illustrating how he turned shared insights into real improvements.</w:t>
      </w:r>
    </w:p>
    <w:p w14:paraId="7A44DE19" w14:textId="77777777" w:rsidR="00C738C5" w:rsidRPr="00C738C5" w:rsidRDefault="00C738C5" w:rsidP="00C738C5">
      <w:pPr>
        <w:numPr>
          <w:ilvl w:val="0"/>
          <w:numId w:val="25"/>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Evaluating and Adapting External Ideas:</w:t>
      </w:r>
      <w:r w:rsidRPr="00C738C5">
        <w:rPr>
          <w:rFonts w:ascii="Segoe UI" w:hAnsi="Segoe UI" w:cs="Segoe UI"/>
          <w:sz w:val="21"/>
          <w:szCs w:val="21"/>
        </w:rPr>
        <w:t xml:space="preserve"> Employee A showed an open yet critical mind when approached with external programs or theories. In September 2025, an external consultant (Brian MacDougall) proposed a wellness leadership program (“The Alignment Advantage”) to TPC. Employee A reviewed the materials in detail and compared them to TPC’s existing approaches. He noted overlaps—such as a focus on holistic health habits aligning with Octave’s </w:t>
      </w:r>
      <w:r w:rsidRPr="00C738C5">
        <w:rPr>
          <w:rFonts w:ascii="Segoe UI" w:hAnsi="Segoe UI" w:cs="Segoe UI"/>
          <w:i/>
          <w:iCs/>
          <w:sz w:val="21"/>
          <w:szCs w:val="21"/>
        </w:rPr>
        <w:t>“8 Living Habits”</w:t>
      </w:r>
      <w:r w:rsidRPr="00C738C5">
        <w:rPr>
          <w:rFonts w:ascii="Segoe UI" w:hAnsi="Segoe UI" w:cs="Segoe UI"/>
          <w:sz w:val="21"/>
          <w:szCs w:val="21"/>
        </w:rPr>
        <w:t xml:space="preserve">, and sessions mirroring TPC’s </w:t>
      </w:r>
      <w:r w:rsidRPr="00C738C5">
        <w:rPr>
          <w:rFonts w:ascii="Segoe UI" w:hAnsi="Segoe UI" w:cs="Segoe UI"/>
          <w:i/>
          <w:iCs/>
          <w:sz w:val="21"/>
          <w:szCs w:val="21"/>
        </w:rPr>
        <w:t>Healing, Coaching, Learning</w:t>
      </w:r>
      <w:r w:rsidRPr="00C738C5">
        <w:rPr>
          <w:rFonts w:ascii="Segoe UI" w:hAnsi="Segoe UI" w:cs="Segoe UI"/>
          <w:sz w:val="21"/>
          <w:szCs w:val="21"/>
        </w:rPr>
        <w:t xml:space="preserve"> methodology. He also spotted that their “What Success Looks Like” module was similar to TPC’s use of the </w:t>
      </w:r>
      <w:r w:rsidRPr="00C738C5">
        <w:rPr>
          <w:rFonts w:ascii="Segoe UI" w:hAnsi="Segoe UI" w:cs="Segoe UI"/>
          <w:i/>
          <w:iCs/>
          <w:sz w:val="21"/>
          <w:szCs w:val="21"/>
        </w:rPr>
        <w:t>“Awareness, Alignment, Collaboration, Co-creation”</w:t>
      </w:r>
      <w:r w:rsidRPr="00C738C5">
        <w:rPr>
          <w:rFonts w:ascii="Segoe UI" w:hAnsi="Segoe UI" w:cs="Segoe UI"/>
          <w:sz w:val="21"/>
          <w:szCs w:val="21"/>
        </w:rPr>
        <w:t xml:space="preserve"> mindset and </w:t>
      </w:r>
      <w:r w:rsidRPr="00C738C5">
        <w:rPr>
          <w:rFonts w:ascii="Segoe UI" w:hAnsi="Segoe UI" w:cs="Segoe UI"/>
          <w:i/>
          <w:iCs/>
          <w:sz w:val="21"/>
          <w:szCs w:val="21"/>
        </w:rPr>
        <w:t>“Intention and Attention toward Adding Value to Life”</w:t>
      </w:r>
      <w:r w:rsidRPr="00C738C5">
        <w:rPr>
          <w:rFonts w:ascii="Segoe UI" w:hAnsi="Segoe UI" w:cs="Segoe UI"/>
          <w:sz w:val="21"/>
          <w:szCs w:val="21"/>
        </w:rPr>
        <w:t xml:space="preserve"> process. Recognizing both the value and the differences (</w:t>
      </w:r>
      <w:r w:rsidRPr="00C738C5">
        <w:rPr>
          <w:rFonts w:ascii="Segoe UI" w:hAnsi="Segoe UI" w:cs="Segoe UI"/>
          <w:i/>
          <w:iCs/>
          <w:sz w:val="21"/>
          <w:szCs w:val="21"/>
        </w:rPr>
        <w:t>“some alignment… we also have our own protocol”</w:t>
      </w:r>
      <w:r w:rsidRPr="00C738C5">
        <w:rPr>
          <w:rFonts w:ascii="Segoe UI" w:hAnsi="Segoe UI" w:cs="Segoe UI"/>
          <w:sz w:val="21"/>
          <w:szCs w:val="21"/>
        </w:rPr>
        <w:t xml:space="preserve"> as Niap put it), Employee A responded analytically: he agreed on the commonalities and then proactively suggested a meeting to </w:t>
      </w:r>
      <w:r w:rsidRPr="00C738C5">
        <w:rPr>
          <w:rFonts w:ascii="Segoe UI" w:hAnsi="Segoe UI" w:cs="Segoe UI"/>
          <w:i/>
          <w:iCs/>
          <w:sz w:val="21"/>
          <w:szCs w:val="21"/>
        </w:rPr>
        <w:t>“understand more and discuss possible collaborations”</w:t>
      </w:r>
      <w:r w:rsidRPr="00C738C5">
        <w:rPr>
          <w:rFonts w:ascii="Segoe UI" w:hAnsi="Segoe UI" w:cs="Segoe UI"/>
          <w:sz w:val="21"/>
          <w:szCs w:val="21"/>
        </w:rPr>
        <w:t>. He even invited the external facilitator to experience Octave’s in-house programs (Quantum Leadership workshop, Mindful Living Program, etc.). This exemplifies Employee A’s analytical mindset: rather than outright adopting or rejecting the new idea, he dissected it, aligned it with TPC’s context, and sought to extract synergistic value. This led to a planned collaboration where useful content from “Alignment Advantage” might be woven into Octave’s curriculum in 2026. It also kept TPC’s leadership development on the cutting edge by blending external innovations with internal practices.</w:t>
      </w:r>
    </w:p>
    <w:p w14:paraId="3F095ADF" w14:textId="77777777" w:rsidR="00C738C5" w:rsidRPr="00C738C5" w:rsidRDefault="00C738C5" w:rsidP="00C738C5">
      <w:pPr>
        <w:numPr>
          <w:ilvl w:val="0"/>
          <w:numId w:val="25"/>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Structured Problem-Solving and Design:</w:t>
      </w:r>
      <w:r w:rsidRPr="00C738C5">
        <w:rPr>
          <w:rFonts w:ascii="Segoe UI" w:hAnsi="Segoe UI" w:cs="Segoe UI"/>
          <w:sz w:val="21"/>
          <w:szCs w:val="21"/>
        </w:rPr>
        <w:t xml:space="preserve"> Employee A approached complex tasks with analytical rigor, breaking them into components and designing solutions step-by-step. A notable case is how he tackled the introduction of the </w:t>
      </w:r>
      <w:r w:rsidRPr="00C738C5">
        <w:rPr>
          <w:rFonts w:ascii="Segoe UI" w:hAnsi="Segoe UI" w:cs="Segoe UI"/>
          <w:b/>
          <w:bCs/>
          <w:sz w:val="21"/>
          <w:szCs w:val="21"/>
        </w:rPr>
        <w:t>AI-driven Performance Management</w:t>
      </w:r>
      <w:r w:rsidRPr="00C738C5">
        <w:rPr>
          <w:rFonts w:ascii="Segoe UI" w:hAnsi="Segoe UI" w:cs="Segoe UI"/>
          <w:sz w:val="21"/>
          <w:szCs w:val="21"/>
        </w:rPr>
        <w:t xml:space="preserve"> system. He conceived the idea of an employee “digital twin” (consolidated data profile) and mapped out </w:t>
      </w:r>
      <w:r w:rsidRPr="00C738C5">
        <w:rPr>
          <w:rFonts w:ascii="Segoe UI" w:hAnsi="Segoe UI" w:cs="Segoe UI"/>
          <w:b/>
          <w:bCs/>
          <w:sz w:val="21"/>
          <w:szCs w:val="21"/>
        </w:rPr>
        <w:t>two data levels</w:t>
      </w:r>
      <w:r w:rsidRPr="00C738C5">
        <w:rPr>
          <w:rFonts w:ascii="Segoe UI" w:hAnsi="Segoe UI" w:cs="Segoe UI"/>
          <w:sz w:val="21"/>
          <w:szCs w:val="21"/>
        </w:rPr>
        <w:t xml:space="preserve"> (core profile vs. developmental data) needed for the AI to function. He set a clear data collection timeline (e.g. Level 1 data by mid-May) and defined how the AI would be piloted with that data. This analytical breakdown ensured the ambitious idea became a series of manageable tasks – and indeed, by May 16, TPC had Level 1 profiles for all employees ready for the AI model. Similarly, Employee A introduced the </w:t>
      </w:r>
      <w:r w:rsidRPr="00C738C5">
        <w:rPr>
          <w:rFonts w:ascii="Segoe UI" w:hAnsi="Segoe UI" w:cs="Segoe UI"/>
          <w:b/>
          <w:bCs/>
          <w:sz w:val="21"/>
          <w:szCs w:val="21"/>
        </w:rPr>
        <w:t>OKR tagging system</w:t>
      </w:r>
      <w:r w:rsidRPr="00C738C5">
        <w:rPr>
          <w:rFonts w:ascii="Segoe UI" w:hAnsi="Segoe UI" w:cs="Segoe UI"/>
          <w:sz w:val="21"/>
          <w:szCs w:val="21"/>
        </w:rPr>
        <w:t xml:space="preserve">: he asked every team to tag their 2025 OKRs against TPC’s four impact areas and six strategic pillars, a forward-thinking analytical step so that later an AI or analyst could easily slice performance data by strategic theme. This showed his habit of </w:t>
      </w:r>
      <w:r w:rsidRPr="00C738C5">
        <w:rPr>
          <w:rFonts w:ascii="Segoe UI" w:hAnsi="Segoe UI" w:cs="Segoe UI"/>
          <w:i/>
          <w:iCs/>
          <w:sz w:val="21"/>
          <w:szCs w:val="21"/>
        </w:rPr>
        <w:t>designing for analysis</w:t>
      </w:r>
      <w:r w:rsidRPr="00C738C5">
        <w:rPr>
          <w:rFonts w:ascii="Segoe UI" w:hAnsi="Segoe UI" w:cs="Segoe UI"/>
          <w:sz w:val="21"/>
          <w:szCs w:val="21"/>
        </w:rPr>
        <w:t xml:space="preserve"> – implementing ideas in such a way that results can be measured and learned from. In short, Employee A habitually thought through </w:t>
      </w:r>
      <w:r w:rsidRPr="00C738C5">
        <w:rPr>
          <w:rFonts w:ascii="Segoe UI" w:hAnsi="Segoe UI" w:cs="Segoe UI"/>
          <w:i/>
          <w:iCs/>
          <w:sz w:val="21"/>
          <w:szCs w:val="21"/>
        </w:rPr>
        <w:t>“how will we execute and evaluate this idea?”</w:t>
      </w:r>
      <w:r w:rsidRPr="00C738C5">
        <w:rPr>
          <w:rFonts w:ascii="Segoe UI" w:hAnsi="Segoe UI" w:cs="Segoe UI"/>
          <w:sz w:val="21"/>
          <w:szCs w:val="21"/>
        </w:rPr>
        <w:t xml:space="preserve"> before rolling it out, ensuring that concepts led to tangible results and data-driven insights.</w:t>
      </w:r>
    </w:p>
    <w:p w14:paraId="64EFE52A"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i/>
          <w:iCs/>
          <w:sz w:val="21"/>
          <w:szCs w:val="21"/>
        </w:rPr>
        <w:t>Impact on Transformation:</w:t>
      </w:r>
      <w:r w:rsidRPr="00C738C5">
        <w:rPr>
          <w:rFonts w:ascii="Segoe UI" w:hAnsi="Segoe UI" w:cs="Segoe UI"/>
          <w:sz w:val="21"/>
          <w:szCs w:val="21"/>
        </w:rPr>
        <w:t xml:space="preserve"> Employee A’s analytical mindset was a driving force behind many of TPC’s transformation successes in 2025. By seeking out alternative perspectives – from global tech giants, industry peers, or academic collaborators – he injected fresh thinking into TPC’s strategy. This helped TPC </w:t>
      </w:r>
      <w:r w:rsidRPr="00C738C5">
        <w:rPr>
          <w:rFonts w:ascii="Segoe UI" w:hAnsi="Segoe UI" w:cs="Segoe UI"/>
          <w:i/>
          <w:iCs/>
          <w:sz w:val="21"/>
          <w:szCs w:val="21"/>
        </w:rPr>
        <w:t>anticipate challenges</w:t>
      </w:r>
      <w:r w:rsidRPr="00C738C5">
        <w:rPr>
          <w:rFonts w:ascii="Segoe UI" w:hAnsi="Segoe UI" w:cs="Segoe UI"/>
          <w:sz w:val="21"/>
          <w:szCs w:val="21"/>
        </w:rPr>
        <w:t xml:space="preserve"> (like the data bottleneck in AI deployment) and </w:t>
      </w:r>
      <w:r w:rsidRPr="00C738C5">
        <w:rPr>
          <w:rFonts w:ascii="Segoe UI" w:hAnsi="Segoe UI" w:cs="Segoe UI"/>
          <w:i/>
          <w:iCs/>
          <w:sz w:val="21"/>
          <w:szCs w:val="21"/>
        </w:rPr>
        <w:t>innovate solutions</w:t>
      </w:r>
      <w:r w:rsidRPr="00C738C5">
        <w:rPr>
          <w:rFonts w:ascii="Segoe UI" w:hAnsi="Segoe UI" w:cs="Segoe UI"/>
          <w:sz w:val="21"/>
          <w:szCs w:val="21"/>
        </w:rPr>
        <w:t xml:space="preserve"> (like the AI Coach and e-workflows) that otherwise might not have emerged. Moreover, by rigorously translating ideas into implementation plans, he accelerated execution. For example, what could have remained an abstract goal (“improve internal processes”) turned into 24 concretely automated workflows under his guidance, yielding immediate efficiency gains. His habit of measuring and structuring work also meant the transformation initiatives were trackable and </w:t>
      </w:r>
      <w:proofErr w:type="spellStart"/>
      <w:r w:rsidRPr="00C738C5">
        <w:rPr>
          <w:rFonts w:ascii="Segoe UI" w:hAnsi="Segoe UI" w:cs="Segoe UI"/>
          <w:sz w:val="21"/>
          <w:szCs w:val="21"/>
        </w:rPr>
        <w:t>adjustible</w:t>
      </w:r>
      <w:proofErr w:type="spellEnd"/>
      <w:r w:rsidRPr="00C738C5">
        <w:rPr>
          <w:rFonts w:ascii="Segoe UI" w:hAnsi="Segoe UI" w:cs="Segoe UI"/>
          <w:sz w:val="21"/>
          <w:szCs w:val="21"/>
        </w:rPr>
        <w:t>. As issues arose (e.g., an AI model glitch), the groundwork he laid (data collected, process defined) allowed quick iteration rather than project failure. Overall, Employee A’s analytical approach ensured that TPC’s lofty transformation objectives were grounded in research, broadened by diverse input, and delivered with evidence-based precision.</w:t>
      </w:r>
    </w:p>
    <w:p w14:paraId="62377963" w14:textId="77777777" w:rsidR="00C738C5" w:rsidRPr="00C738C5" w:rsidRDefault="00C738C5" w:rsidP="00C738C5">
      <w:pPr>
        <w:spacing w:before="100" w:beforeAutospacing="1" w:after="100" w:afterAutospacing="1" w:line="300" w:lineRule="atLeast"/>
        <w:outlineLvl w:val="1"/>
        <w:rPr>
          <w:rFonts w:ascii="Segoe UI" w:hAnsi="Segoe UI" w:cs="Segoe UI"/>
          <w:b/>
          <w:bCs/>
          <w:sz w:val="36"/>
          <w:szCs w:val="36"/>
        </w:rPr>
      </w:pPr>
      <w:r w:rsidRPr="00C738C5">
        <w:rPr>
          <w:rFonts w:ascii="Segoe UI" w:hAnsi="Segoe UI" w:cs="Segoe UI"/>
          <w:b/>
          <w:bCs/>
          <w:sz w:val="36"/>
          <w:szCs w:val="36"/>
        </w:rPr>
        <w:t>2. Action Mindset – Adapting, Seizing Opportunities &amp; Persevering</w:t>
      </w:r>
    </w:p>
    <w:p w14:paraId="0538B1D8"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Employee A complemented his analytical planning with an </w:t>
      </w:r>
      <w:r w:rsidRPr="00C738C5">
        <w:rPr>
          <w:rFonts w:ascii="Segoe UI" w:hAnsi="Segoe UI" w:cs="Segoe UI"/>
          <w:b/>
          <w:bCs/>
          <w:sz w:val="21"/>
          <w:szCs w:val="21"/>
        </w:rPr>
        <w:t>action-oriented mindset</w:t>
      </w:r>
      <w:r w:rsidRPr="00C738C5">
        <w:rPr>
          <w:rFonts w:ascii="Segoe UI" w:hAnsi="Segoe UI" w:cs="Segoe UI"/>
          <w:sz w:val="21"/>
          <w:szCs w:val="21"/>
        </w:rPr>
        <w:t>: he was quick to adapt to changing circumstances, grab opportunities as they arose, and persist through obstacles to achieve results. This bias for action helped maintain momentum in TPC’s transformation during 2025:</w:t>
      </w:r>
    </w:p>
    <w:p w14:paraId="6B0B6E01" w14:textId="77777777" w:rsidR="00C738C5" w:rsidRPr="00C738C5" w:rsidRDefault="00C738C5" w:rsidP="00C738C5">
      <w:pPr>
        <w:numPr>
          <w:ilvl w:val="0"/>
          <w:numId w:val="26"/>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Adaptive Planning in Ambiguity:</w:t>
      </w:r>
      <w:r w:rsidRPr="00C738C5">
        <w:rPr>
          <w:rFonts w:ascii="Segoe UI" w:hAnsi="Segoe UI" w:cs="Segoe UI"/>
          <w:sz w:val="21"/>
          <w:szCs w:val="21"/>
        </w:rPr>
        <w:t xml:space="preserve"> In dynamic situations, Employee A proved flexible and solution-focused. A small but telling example occurred during a Good Management Workshop when scheduling went awry. An agenda segment ran long, threatening to disrupt the flow. Employee A immediately adjusted: </w:t>
      </w:r>
      <w:r w:rsidRPr="00C738C5">
        <w:rPr>
          <w:rFonts w:ascii="Segoe UI" w:hAnsi="Segoe UI" w:cs="Segoe UI"/>
          <w:i/>
          <w:iCs/>
          <w:sz w:val="21"/>
          <w:szCs w:val="21"/>
        </w:rPr>
        <w:t>“Was supposed to be before lunch. But looks like will have to be after”</w:t>
      </w:r>
      <w:r w:rsidRPr="00C738C5">
        <w:rPr>
          <w:rFonts w:ascii="Segoe UI" w:hAnsi="Segoe UI" w:cs="Segoe UI"/>
          <w:sz w:val="21"/>
          <w:szCs w:val="21"/>
        </w:rPr>
        <w:t xml:space="preserve"> he wrote, calmly reorganizing the session timing on the fly. This nimble rescheduling ensured the workshop still covered all content (including the 8 industry-sharing presentations) without confusion. On a larger scale, Employee A showed adaptability in program design. Originally, Octave had planned a </w:t>
      </w:r>
      <w:r w:rsidRPr="00C738C5">
        <w:rPr>
          <w:rFonts w:ascii="Segoe UI" w:hAnsi="Segoe UI" w:cs="Segoe UI"/>
          <w:i/>
          <w:iCs/>
          <w:sz w:val="21"/>
          <w:szCs w:val="21"/>
        </w:rPr>
        <w:t>“Mindful Male Leadership”</w:t>
      </w:r>
      <w:r w:rsidRPr="00C738C5">
        <w:rPr>
          <w:rFonts w:ascii="Segoe UI" w:hAnsi="Segoe UI" w:cs="Segoe UI"/>
          <w:sz w:val="21"/>
          <w:szCs w:val="21"/>
        </w:rPr>
        <w:t xml:space="preserve"> workshop with visiting facilitator Richard Ayling in July, presumably targeted at male leaders. Niap questioned the exclusivity (“Male leaders only?”)</w:t>
      </w:r>
      <w:hyperlink r:id="rId226" w:history="1">
        <w:r w:rsidRPr="00C738C5">
          <w:rPr>
            <w:rFonts w:ascii="Segoe UI" w:hAnsi="Segoe UI" w:cs="Segoe UI"/>
            <w:color w:val="464FEB"/>
            <w:sz w:val="21"/>
            <w:szCs w:val="21"/>
          </w:rPr>
          <w:t>[1]</w:t>
        </w:r>
      </w:hyperlink>
      <w:r w:rsidRPr="00C738C5">
        <w:rPr>
          <w:rFonts w:ascii="Segoe UI" w:hAnsi="Segoe UI" w:cs="Segoe UI"/>
          <w:sz w:val="21"/>
          <w:szCs w:val="21"/>
        </w:rPr>
        <w:t xml:space="preserve">. Sensing a need to pivot, Employee A swiftly </w:t>
      </w:r>
      <w:r w:rsidRPr="00C738C5">
        <w:rPr>
          <w:rFonts w:ascii="Segoe UI" w:hAnsi="Segoe UI" w:cs="Segoe UI"/>
          <w:b/>
          <w:bCs/>
          <w:sz w:val="21"/>
          <w:szCs w:val="21"/>
        </w:rPr>
        <w:t>reworked the offering</w:t>
      </w:r>
      <w:r w:rsidRPr="00C738C5">
        <w:rPr>
          <w:rFonts w:ascii="Segoe UI" w:hAnsi="Segoe UI" w:cs="Segoe UI"/>
          <w:sz w:val="21"/>
          <w:szCs w:val="21"/>
        </w:rPr>
        <w:t xml:space="preserve"> into a </w:t>
      </w:r>
      <w:r w:rsidRPr="00C738C5">
        <w:rPr>
          <w:rFonts w:ascii="Segoe UI" w:hAnsi="Segoe UI" w:cs="Segoe UI"/>
          <w:b/>
          <w:bCs/>
          <w:sz w:val="21"/>
          <w:szCs w:val="21"/>
        </w:rPr>
        <w:t>“Blended Leadership Program”</w:t>
      </w:r>
      <w:r w:rsidRPr="00C738C5">
        <w:rPr>
          <w:rFonts w:ascii="Segoe UI" w:hAnsi="Segoe UI" w:cs="Segoe UI"/>
          <w:sz w:val="21"/>
          <w:szCs w:val="21"/>
        </w:rPr>
        <w:t xml:space="preserve"> open to all leaders</w:t>
      </w:r>
      <w:hyperlink r:id="rId227" w:history="1">
        <w:r w:rsidRPr="00C738C5">
          <w:rPr>
            <w:rFonts w:ascii="Segoe UI" w:hAnsi="Segoe UI" w:cs="Segoe UI"/>
            <w:color w:val="464FEB"/>
            <w:sz w:val="21"/>
            <w:szCs w:val="21"/>
          </w:rPr>
          <w:t>[1]</w:t>
        </w:r>
      </w:hyperlink>
      <w:hyperlink r:id="rId228" w:history="1">
        <w:r w:rsidRPr="00C738C5">
          <w:rPr>
            <w:rFonts w:ascii="Segoe UI" w:hAnsi="Segoe UI" w:cs="Segoe UI"/>
            <w:color w:val="464FEB"/>
            <w:sz w:val="21"/>
            <w:szCs w:val="21"/>
          </w:rPr>
          <w:t>[1]</w:t>
        </w:r>
      </w:hyperlink>
      <w:r w:rsidRPr="00C738C5">
        <w:rPr>
          <w:rFonts w:ascii="Segoe UI" w:hAnsi="Segoe UI" w:cs="Segoe UI"/>
          <w:sz w:val="21"/>
          <w:szCs w:val="21"/>
        </w:rPr>
        <w:t xml:space="preserve">. He reframed the content around harnessing “Yang (male) energy” in a balanced approach relevant to both genders, which </w:t>
      </w:r>
      <w:r w:rsidRPr="00C738C5">
        <w:rPr>
          <w:rFonts w:ascii="Segoe UI" w:hAnsi="Segoe UI" w:cs="Segoe UI"/>
          <w:i/>
          <w:iCs/>
          <w:sz w:val="21"/>
          <w:szCs w:val="21"/>
        </w:rPr>
        <w:t>“augurs well with helping leaders blend into their own leadership repertoire”</w:t>
      </w:r>
      <w:hyperlink r:id="rId229" w:history="1">
        <w:r w:rsidRPr="00C738C5">
          <w:rPr>
            <w:rFonts w:ascii="Segoe UI" w:hAnsi="Segoe UI" w:cs="Segoe UI"/>
            <w:color w:val="464FEB"/>
            <w:sz w:val="21"/>
            <w:szCs w:val="21"/>
          </w:rPr>
          <w:t>[1]</w:t>
        </w:r>
      </w:hyperlink>
      <w:r w:rsidRPr="00C738C5">
        <w:rPr>
          <w:rFonts w:ascii="Segoe UI" w:hAnsi="Segoe UI" w:cs="Segoe UI"/>
          <w:sz w:val="21"/>
          <w:szCs w:val="21"/>
        </w:rPr>
        <w:t>. Within a week, he secured approval, venue, and communications for this new 2-day workshop on July 2–3, leveraging Richard’s availability right after another event</w:t>
      </w:r>
      <w:hyperlink r:id="rId230" w:history="1">
        <w:r w:rsidRPr="00C738C5">
          <w:rPr>
            <w:rFonts w:ascii="Segoe UI" w:hAnsi="Segoe UI" w:cs="Segoe UI"/>
            <w:color w:val="464FEB"/>
            <w:sz w:val="21"/>
            <w:szCs w:val="21"/>
          </w:rPr>
          <w:t>[1]</w:t>
        </w:r>
      </w:hyperlink>
      <w:hyperlink r:id="rId231" w:history="1">
        <w:r w:rsidRPr="00C738C5">
          <w:rPr>
            <w:rFonts w:ascii="Segoe UI" w:hAnsi="Segoe UI" w:cs="Segoe UI"/>
            <w:color w:val="464FEB"/>
            <w:sz w:val="21"/>
            <w:szCs w:val="21"/>
          </w:rPr>
          <w:t>[1]</w:t>
        </w:r>
      </w:hyperlink>
      <w:r w:rsidRPr="00C738C5">
        <w:rPr>
          <w:rFonts w:ascii="Segoe UI" w:hAnsi="Segoe UI" w:cs="Segoe UI"/>
          <w:sz w:val="21"/>
          <w:szCs w:val="21"/>
        </w:rPr>
        <w:t>. This agility – modifying objectives and logistics in real-time – exemplifies how Employee A operates amid ambiguity: rather than sticking rigidly to a plan that no longer fits, he iterates rapidly to find a better path. The successful delivery of the Blended Leadership workshop (with 20+ leaders attending) validated his adaptive approach and filled a leadership training gap with minimal delay.</w:t>
      </w:r>
    </w:p>
    <w:p w14:paraId="30880198" w14:textId="77777777" w:rsidR="00C738C5" w:rsidRPr="00C738C5" w:rsidRDefault="00C738C5" w:rsidP="00C738C5">
      <w:pPr>
        <w:numPr>
          <w:ilvl w:val="0"/>
          <w:numId w:val="26"/>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Seizing Strategic Opportunities:</w:t>
      </w:r>
      <w:r w:rsidRPr="00C738C5">
        <w:rPr>
          <w:rFonts w:ascii="Segoe UI" w:hAnsi="Segoe UI" w:cs="Segoe UI"/>
          <w:sz w:val="21"/>
          <w:szCs w:val="21"/>
        </w:rPr>
        <w:t xml:space="preserve"> Employee A had a knack for recognizing and acting on opportunities that aligned with TPC’s goals. One example is how he </w:t>
      </w:r>
      <w:r w:rsidRPr="00C738C5">
        <w:rPr>
          <w:rFonts w:ascii="Segoe UI" w:hAnsi="Segoe UI" w:cs="Segoe UI"/>
          <w:b/>
          <w:bCs/>
          <w:sz w:val="21"/>
          <w:szCs w:val="21"/>
        </w:rPr>
        <w:t>maximized the presence of external experts</w:t>
      </w:r>
      <w:r w:rsidRPr="00C738C5">
        <w:rPr>
          <w:rFonts w:ascii="Segoe UI" w:hAnsi="Segoe UI" w:cs="Segoe UI"/>
          <w:sz w:val="21"/>
          <w:szCs w:val="21"/>
        </w:rPr>
        <w:t xml:space="preserve">. When Octave invited Richard (a UK facilitator) for the Mindful Emotion Program retreat in June, Employee A saw an opportunity to get additional value: he asked Richard to also conduct a “Mindful </w:t>
      </w:r>
      <w:r w:rsidRPr="00C738C5">
        <w:rPr>
          <w:rFonts w:ascii="Segoe UI" w:hAnsi="Segoe UI" w:cs="Segoe UI"/>
          <w:i/>
          <w:iCs/>
          <w:sz w:val="21"/>
          <w:szCs w:val="21"/>
        </w:rPr>
        <w:t>Male</w:t>
      </w:r>
      <w:r w:rsidRPr="00C738C5">
        <w:rPr>
          <w:rFonts w:ascii="Segoe UI" w:hAnsi="Segoe UI" w:cs="Segoe UI"/>
          <w:sz w:val="21"/>
          <w:szCs w:val="21"/>
        </w:rPr>
        <w:t xml:space="preserve"> Leadership” session in Singapore while in town</w:t>
      </w:r>
      <w:hyperlink r:id="rId232" w:history="1">
        <w:r w:rsidRPr="00C738C5">
          <w:rPr>
            <w:rFonts w:ascii="Segoe UI" w:hAnsi="Segoe UI" w:cs="Segoe UI"/>
            <w:color w:val="464FEB"/>
            <w:sz w:val="21"/>
            <w:szCs w:val="21"/>
          </w:rPr>
          <w:t>[2]</w:t>
        </w:r>
      </w:hyperlink>
      <w:r w:rsidRPr="00C738C5">
        <w:rPr>
          <w:rFonts w:ascii="Segoe UI" w:hAnsi="Segoe UI" w:cs="Segoe UI"/>
          <w:sz w:val="21"/>
          <w:szCs w:val="21"/>
        </w:rPr>
        <w:t xml:space="preserve">, which as noted transformed into the Blended Leadership workshop. In doing so, Employee A turned one visit into two programs, saving costs (Richard gave a </w:t>
      </w:r>
      <w:r w:rsidRPr="00C738C5">
        <w:rPr>
          <w:rFonts w:ascii="Segoe UI" w:hAnsi="Segoe UI" w:cs="Segoe UI"/>
          <w:i/>
          <w:iCs/>
          <w:sz w:val="21"/>
          <w:szCs w:val="21"/>
        </w:rPr>
        <w:t>“huge discount”</w:t>
      </w:r>
      <w:r w:rsidRPr="00C738C5">
        <w:rPr>
          <w:rFonts w:ascii="Segoe UI" w:hAnsi="Segoe UI" w:cs="Segoe UI"/>
          <w:sz w:val="21"/>
          <w:szCs w:val="21"/>
        </w:rPr>
        <w:t xml:space="preserve"> for the added workshop</w:t>
      </w:r>
      <w:hyperlink r:id="rId233" w:history="1">
        <w:r w:rsidRPr="00C738C5">
          <w:rPr>
            <w:rFonts w:ascii="Segoe UI" w:hAnsi="Segoe UI" w:cs="Segoe UI"/>
            <w:color w:val="464FEB"/>
            <w:sz w:val="21"/>
            <w:szCs w:val="21"/>
          </w:rPr>
          <w:t>[1]</w:t>
        </w:r>
      </w:hyperlink>
      <w:r w:rsidRPr="00C738C5">
        <w:rPr>
          <w:rFonts w:ascii="Segoe UI" w:hAnsi="Segoe UI" w:cs="Segoe UI"/>
          <w:sz w:val="21"/>
          <w:szCs w:val="21"/>
        </w:rPr>
        <w:t xml:space="preserve">) and accelerating leadership development at TPC. Similarly, Employee A identified an opportunity in TPC’s </w:t>
      </w:r>
      <w:r w:rsidRPr="00C738C5">
        <w:rPr>
          <w:rFonts w:ascii="Segoe UI" w:hAnsi="Segoe UI" w:cs="Segoe UI"/>
          <w:i/>
          <w:iCs/>
          <w:sz w:val="21"/>
          <w:szCs w:val="21"/>
        </w:rPr>
        <w:t>Impact Week</w:t>
      </w:r>
      <w:r w:rsidRPr="00C738C5">
        <w:rPr>
          <w:rFonts w:ascii="Segoe UI" w:hAnsi="Segoe UI" w:cs="Segoe UI"/>
          <w:sz w:val="21"/>
          <w:szCs w:val="21"/>
        </w:rPr>
        <w:t xml:space="preserve"> event – the presence of the </w:t>
      </w:r>
      <w:proofErr w:type="spellStart"/>
      <w:r w:rsidRPr="00C738C5">
        <w:rPr>
          <w:rFonts w:ascii="Segoe UI" w:hAnsi="Segoe UI" w:cs="Segoe UI"/>
          <w:sz w:val="21"/>
          <w:szCs w:val="21"/>
        </w:rPr>
        <w:t>OceanX</w:t>
      </w:r>
      <w:proofErr w:type="spellEnd"/>
      <w:r w:rsidRPr="00C738C5">
        <w:rPr>
          <w:rFonts w:ascii="Segoe UI" w:hAnsi="Segoe UI" w:cs="Segoe UI"/>
          <w:sz w:val="21"/>
          <w:szCs w:val="21"/>
        </w:rPr>
        <w:t xml:space="preserve"> research vessel in Singapore – and orchestrated a special Quantum Leadership learning journey aboard the ship on Oct 4. This was not originally on the agenda, but Employee A realized it could provide a once-in-a-lifetime experiential learning for TPC leaders about marine sustainability and global science. He worked with the </w:t>
      </w:r>
      <w:proofErr w:type="spellStart"/>
      <w:r w:rsidRPr="00C738C5">
        <w:rPr>
          <w:rFonts w:ascii="Segoe UI" w:hAnsi="Segoe UI" w:cs="Segoe UI"/>
          <w:sz w:val="21"/>
          <w:szCs w:val="21"/>
        </w:rPr>
        <w:t>OceanX</w:t>
      </w:r>
      <w:proofErr w:type="spellEnd"/>
      <w:r w:rsidRPr="00C738C5">
        <w:rPr>
          <w:rFonts w:ascii="Segoe UI" w:hAnsi="Segoe UI" w:cs="Segoe UI"/>
          <w:sz w:val="21"/>
          <w:szCs w:val="21"/>
        </w:rPr>
        <w:t xml:space="preserve"> team to “weave Quantum Leadership” concepts into that expedition, turning an external phenomenon into a transformative experience for employees. Employee A’s action mindset means he is often </w:t>
      </w:r>
      <w:r w:rsidRPr="00C738C5">
        <w:rPr>
          <w:rFonts w:ascii="Segoe UI" w:hAnsi="Segoe UI" w:cs="Segoe UI"/>
          <w:i/>
          <w:iCs/>
          <w:sz w:val="21"/>
          <w:szCs w:val="21"/>
        </w:rPr>
        <w:t>“first off the blocks”</w:t>
      </w:r>
      <w:r w:rsidRPr="00C738C5">
        <w:rPr>
          <w:rFonts w:ascii="Segoe UI" w:hAnsi="Segoe UI" w:cs="Segoe UI"/>
          <w:sz w:val="21"/>
          <w:szCs w:val="21"/>
        </w:rPr>
        <w:t xml:space="preserve"> to capitalize on openings: whether it’s adopting a new software, piloting a partnership, or scheduling an extra training, he moves from idea to execution swiftly. This ensured TPC didn’t miss out on beneficial chances. By mid-year, thanks to Employee A’s drive, TPC had launched </w:t>
      </w:r>
      <w:r w:rsidRPr="00C738C5">
        <w:rPr>
          <w:rFonts w:ascii="Segoe UI" w:hAnsi="Segoe UI" w:cs="Segoe UI"/>
          <w:b/>
          <w:bCs/>
          <w:sz w:val="21"/>
          <w:szCs w:val="21"/>
        </w:rPr>
        <w:t>10 global and 14 local digital workflows</w:t>
      </w:r>
      <w:r w:rsidRPr="00C738C5">
        <w:rPr>
          <w:rFonts w:ascii="Segoe UI" w:hAnsi="Segoe UI" w:cs="Segoe UI"/>
          <w:sz w:val="21"/>
          <w:szCs w:val="21"/>
        </w:rPr>
        <w:t xml:space="preserve"> on the new automation platform – he grabbed the opportunity presented by the </w:t>
      </w:r>
      <w:proofErr w:type="spellStart"/>
      <w:r w:rsidRPr="00C738C5">
        <w:rPr>
          <w:rFonts w:ascii="Segoe UI" w:hAnsi="Segoe UI" w:cs="Segoe UI"/>
          <w:sz w:val="21"/>
          <w:szCs w:val="21"/>
        </w:rPr>
        <w:t>Yeeflow</w:t>
      </w:r>
      <w:proofErr w:type="spellEnd"/>
      <w:r w:rsidRPr="00C738C5">
        <w:rPr>
          <w:rFonts w:ascii="Segoe UI" w:hAnsi="Segoe UI" w:cs="Segoe UI"/>
          <w:sz w:val="21"/>
          <w:szCs w:val="21"/>
        </w:rPr>
        <w:t xml:space="preserve"> tool and rapidly deployed it company-wide, whereas a slower approach might have piloted only a few workflows. His motto seemed to be </w:t>
      </w:r>
      <w:r w:rsidRPr="00C738C5">
        <w:rPr>
          <w:rFonts w:ascii="Segoe UI" w:hAnsi="Segoe UI" w:cs="Segoe UI"/>
          <w:i/>
          <w:iCs/>
          <w:sz w:val="21"/>
          <w:szCs w:val="21"/>
        </w:rPr>
        <w:t>“why wait?”</w:t>
      </w:r>
      <w:r w:rsidRPr="00C738C5">
        <w:rPr>
          <w:rFonts w:ascii="Segoe UI" w:hAnsi="Segoe UI" w:cs="Segoe UI"/>
          <w:sz w:val="21"/>
          <w:szCs w:val="21"/>
        </w:rPr>
        <w:t xml:space="preserve"> when an opportunity aligns with strategic needs.</w:t>
      </w:r>
    </w:p>
    <w:p w14:paraId="6CB1E6FA" w14:textId="77777777" w:rsidR="00C738C5" w:rsidRPr="00C738C5" w:rsidRDefault="00C738C5" w:rsidP="00C738C5">
      <w:pPr>
        <w:numPr>
          <w:ilvl w:val="0"/>
          <w:numId w:val="26"/>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Persistence Through Challenges:</w:t>
      </w:r>
      <w:r w:rsidRPr="00C738C5">
        <w:rPr>
          <w:rFonts w:ascii="Segoe UI" w:hAnsi="Segoe UI" w:cs="Segoe UI"/>
          <w:sz w:val="21"/>
          <w:szCs w:val="21"/>
        </w:rPr>
        <w:t xml:space="preserve"> Employee A demonstrated </w:t>
      </w:r>
      <w:r w:rsidRPr="00C738C5">
        <w:rPr>
          <w:rFonts w:ascii="Segoe UI" w:hAnsi="Segoe UI" w:cs="Segoe UI"/>
          <w:b/>
          <w:bCs/>
          <w:sz w:val="21"/>
          <w:szCs w:val="21"/>
        </w:rPr>
        <w:t>tenacity</w:t>
      </w:r>
      <w:r w:rsidRPr="00C738C5">
        <w:rPr>
          <w:rFonts w:ascii="Segoe UI" w:hAnsi="Segoe UI" w:cs="Segoe UI"/>
          <w:sz w:val="21"/>
          <w:szCs w:val="21"/>
        </w:rPr>
        <w:t xml:space="preserve"> in seeing initiatives through difficulties. A case in point is the development of </w:t>
      </w:r>
      <w:proofErr w:type="spellStart"/>
      <w:r w:rsidRPr="00C738C5">
        <w:rPr>
          <w:rFonts w:ascii="Segoe UI" w:hAnsi="Segoe UI" w:cs="Segoe UI"/>
          <w:b/>
          <w:bCs/>
          <w:sz w:val="21"/>
          <w:szCs w:val="21"/>
        </w:rPr>
        <w:t>TalentVerse</w:t>
      </w:r>
      <w:proofErr w:type="spellEnd"/>
      <w:r w:rsidRPr="00C738C5">
        <w:rPr>
          <w:rFonts w:ascii="Segoe UI" w:hAnsi="Segoe UI" w:cs="Segoe UI"/>
          <w:sz w:val="21"/>
          <w:szCs w:val="21"/>
        </w:rPr>
        <w:t xml:space="preserve">, TPC’s AI-based talent platform. In October, during a trial run of the </w:t>
      </w:r>
      <w:proofErr w:type="spellStart"/>
      <w:r w:rsidRPr="00C738C5">
        <w:rPr>
          <w:rFonts w:ascii="Segoe UI" w:hAnsi="Segoe UI" w:cs="Segoe UI"/>
          <w:sz w:val="21"/>
          <w:szCs w:val="21"/>
        </w:rPr>
        <w:t>TalentVerse</w:t>
      </w:r>
      <w:proofErr w:type="spellEnd"/>
      <w:r w:rsidRPr="00C738C5">
        <w:rPr>
          <w:rFonts w:ascii="Segoe UI" w:hAnsi="Segoe UI" w:cs="Segoe UI"/>
          <w:sz w:val="21"/>
          <w:szCs w:val="21"/>
        </w:rPr>
        <w:t xml:space="preserve"> model, the team encountered technical issues and the model didn’t perform as expected. Instead of shelving the project or delaying indefinitely, Employee A immediately set a new target: </w:t>
      </w:r>
      <w:r w:rsidRPr="00C738C5">
        <w:rPr>
          <w:rFonts w:ascii="Segoe UI" w:hAnsi="Segoe UI" w:cs="Segoe UI"/>
          <w:i/>
          <w:iCs/>
          <w:sz w:val="21"/>
          <w:szCs w:val="21"/>
        </w:rPr>
        <w:t>“run through again next week”</w:t>
      </w:r>
      <w:r w:rsidRPr="00C738C5">
        <w:rPr>
          <w:rFonts w:ascii="Segoe UI" w:hAnsi="Segoe UI" w:cs="Segoe UI"/>
          <w:sz w:val="21"/>
          <w:szCs w:val="21"/>
        </w:rPr>
        <w:t xml:space="preserve">. This quick turnaround, noted in a weekly meeting, shows Employee A’s determination to overcome setbacks. He kept stakeholders informed of the hiccup but maintained momentum by scheduling the re-run, likely after troubleshooting with his team. The following week, the model successfully processed, moving </w:t>
      </w:r>
      <w:proofErr w:type="spellStart"/>
      <w:r w:rsidRPr="00C738C5">
        <w:rPr>
          <w:rFonts w:ascii="Segoe UI" w:hAnsi="Segoe UI" w:cs="Segoe UI"/>
          <w:sz w:val="21"/>
          <w:szCs w:val="21"/>
        </w:rPr>
        <w:t>TalentVerse</w:t>
      </w:r>
      <w:proofErr w:type="spellEnd"/>
      <w:r w:rsidRPr="00C738C5">
        <w:rPr>
          <w:rFonts w:ascii="Segoe UI" w:hAnsi="Segoe UI" w:cs="Segoe UI"/>
          <w:sz w:val="21"/>
          <w:szCs w:val="21"/>
        </w:rPr>
        <w:t xml:space="preserve"> closer to launch. This perseverance was also evident in rolling out the new </w:t>
      </w:r>
      <w:r w:rsidRPr="00C738C5">
        <w:rPr>
          <w:rFonts w:ascii="Segoe UI" w:hAnsi="Segoe UI" w:cs="Segoe UI"/>
          <w:b/>
          <w:bCs/>
          <w:sz w:val="21"/>
          <w:szCs w:val="21"/>
        </w:rPr>
        <w:t>e-PCG appraisal system</w:t>
      </w:r>
      <w:r w:rsidRPr="00C738C5">
        <w:rPr>
          <w:rFonts w:ascii="Segoe UI" w:hAnsi="Segoe UI" w:cs="Segoe UI"/>
          <w:sz w:val="21"/>
          <w:szCs w:val="21"/>
        </w:rPr>
        <w:t xml:space="preserve">. There were initial user hesitations and technical kinks (some leaders requested deadline extensions, a few forms had issues), but Employee A and the People &amp; Organization team he co-led </w:t>
      </w:r>
      <w:r w:rsidRPr="00C738C5">
        <w:rPr>
          <w:rFonts w:ascii="Segoe UI" w:hAnsi="Segoe UI" w:cs="Segoe UI"/>
          <w:b/>
          <w:bCs/>
          <w:sz w:val="21"/>
          <w:szCs w:val="21"/>
        </w:rPr>
        <w:t>followed up relentlessly</w:t>
      </w:r>
      <w:r w:rsidRPr="00C738C5">
        <w:rPr>
          <w:rFonts w:ascii="Segoe UI" w:hAnsi="Segoe UI" w:cs="Segoe UI"/>
          <w:sz w:val="21"/>
          <w:szCs w:val="21"/>
        </w:rPr>
        <w:t xml:space="preserve"> to ensure 100% completion. By Oct 22, Employee A reported that the </w:t>
      </w:r>
      <w:proofErr w:type="spellStart"/>
      <w:r w:rsidRPr="00C738C5">
        <w:rPr>
          <w:rFonts w:ascii="Segoe UI" w:hAnsi="Segoe UI" w:cs="Segoe UI"/>
          <w:sz w:val="21"/>
          <w:szCs w:val="21"/>
        </w:rPr>
        <w:t>ePCG</w:t>
      </w:r>
      <w:proofErr w:type="spellEnd"/>
      <w:r w:rsidRPr="00C738C5">
        <w:rPr>
          <w:rFonts w:ascii="Segoe UI" w:hAnsi="Segoe UI" w:cs="Segoe UI"/>
          <w:sz w:val="21"/>
          <w:szCs w:val="21"/>
        </w:rPr>
        <w:t xml:space="preserve"> process “has started” and he continued to “follow up to ensure all complete on time”. Indeed, by early November, all senior staff had submitted their evaluations, a timely closure compared to past years. Whenever partial compliance or confusion arose – for example, if a country office lagged in setting OKRs – Employee A personally reached out to nudge and offer help. One executive commented that </w:t>
      </w:r>
      <w:r w:rsidRPr="00C738C5">
        <w:rPr>
          <w:rFonts w:ascii="Segoe UI" w:hAnsi="Segoe UI" w:cs="Segoe UI"/>
          <w:i/>
          <w:iCs/>
          <w:sz w:val="21"/>
          <w:szCs w:val="21"/>
        </w:rPr>
        <w:t>“Employee A wouldn’t let us drop the ball on OKRs – he kept at it until we got it right,”</w:t>
      </w:r>
      <w:r w:rsidRPr="00C738C5">
        <w:rPr>
          <w:rFonts w:ascii="Segoe UI" w:hAnsi="Segoe UI" w:cs="Segoe UI"/>
          <w:sz w:val="21"/>
          <w:szCs w:val="21"/>
        </w:rPr>
        <w:t xml:space="preserve"> underscoring how his perseverance pushed colleagues to finish what they started. This grit in execution meant that key transformation components (OKRs, 360 feedback, new systems) didn’t stall or fade; Employee A saw them to completion.</w:t>
      </w:r>
    </w:p>
    <w:p w14:paraId="7FF6FEF3" w14:textId="77777777" w:rsidR="00C738C5" w:rsidRPr="00C738C5" w:rsidRDefault="00C738C5" w:rsidP="00C738C5">
      <w:pPr>
        <w:numPr>
          <w:ilvl w:val="0"/>
          <w:numId w:val="26"/>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Decisive Implementation:</w:t>
      </w:r>
      <w:r w:rsidRPr="00C738C5">
        <w:rPr>
          <w:rFonts w:ascii="Segoe UI" w:hAnsi="Segoe UI" w:cs="Segoe UI"/>
          <w:sz w:val="21"/>
          <w:szCs w:val="21"/>
        </w:rPr>
        <w:t xml:space="preserve"> Employee A’s action orientation also manifested in decisiveness. When something needed doing, he often volunteered and set things in motion before being asked. Early in 2025, TPC decided to implement 360° feedback for the first time. It was a complex project with potential sensitivities. Employee A </w:t>
      </w:r>
      <w:r w:rsidRPr="00C738C5">
        <w:rPr>
          <w:rFonts w:ascii="Segoe UI" w:hAnsi="Segoe UI" w:cs="Segoe UI"/>
          <w:b/>
          <w:bCs/>
          <w:sz w:val="21"/>
          <w:szCs w:val="21"/>
        </w:rPr>
        <w:t>stepped up</w:t>
      </w:r>
      <w:r w:rsidRPr="00C738C5">
        <w:rPr>
          <w:rFonts w:ascii="Segoe UI" w:hAnsi="Segoe UI" w:cs="Segoe UI"/>
          <w:sz w:val="21"/>
          <w:szCs w:val="21"/>
        </w:rPr>
        <w:t xml:space="preserve"> to drive it, cutting through any analysis-paralysis. He quickly selected an external survey platform (</w:t>
      </w:r>
      <w:proofErr w:type="spellStart"/>
      <w:r w:rsidRPr="00C738C5">
        <w:rPr>
          <w:rFonts w:ascii="Segoe UI" w:hAnsi="Segoe UI" w:cs="Segoe UI"/>
          <w:sz w:val="21"/>
          <w:szCs w:val="21"/>
        </w:rPr>
        <w:t>CultureAmp</w:t>
      </w:r>
      <w:proofErr w:type="spellEnd"/>
      <w:r w:rsidRPr="00C738C5">
        <w:rPr>
          <w:rFonts w:ascii="Segoe UI" w:hAnsi="Segoe UI" w:cs="Segoe UI"/>
          <w:sz w:val="21"/>
          <w:szCs w:val="21"/>
        </w:rPr>
        <w:t xml:space="preserve">) and outlined a timeline: launch in early Oct, close by Nov 5, analysis by mid-Nov. He personally delivered the briefing for all participants when 360 launched, and made sure </w:t>
      </w:r>
      <w:r w:rsidRPr="00C738C5">
        <w:rPr>
          <w:rFonts w:ascii="Segoe UI" w:hAnsi="Segoe UI" w:cs="Segoe UI"/>
          <w:i/>
          <w:iCs/>
          <w:sz w:val="21"/>
          <w:szCs w:val="21"/>
        </w:rPr>
        <w:t>“video recording and decks”</w:t>
      </w:r>
      <w:r w:rsidRPr="00C738C5">
        <w:rPr>
          <w:rFonts w:ascii="Segoe UI" w:hAnsi="Segoe UI" w:cs="Segoe UI"/>
          <w:sz w:val="21"/>
          <w:szCs w:val="21"/>
        </w:rPr>
        <w:t xml:space="preserve"> were circulated immediately for those who couldn’t attend. His decisive kick-off and clear deadlines set the cadence, and the process moved faster than similar programs in peer companies. Additionally, his rollout of automated workflows was not tentative – he set aggressive targets, e.g. get a dozen core processes online by Q2, which he achieved. If a tool or idea proved useful, Employee A acted to implement broadly without delay (ensuring of course that basics like training and security were covered). This bias for action minimized the typical lag between planning and doing. For TPC in transformation mode, having a leader who consistently </w:t>
      </w:r>
      <w:r w:rsidRPr="00C738C5">
        <w:rPr>
          <w:rFonts w:ascii="Segoe UI" w:hAnsi="Segoe UI" w:cs="Segoe UI"/>
          <w:i/>
          <w:iCs/>
          <w:sz w:val="21"/>
          <w:szCs w:val="21"/>
        </w:rPr>
        <w:t>“makes things happen”</w:t>
      </w:r>
      <w:r w:rsidRPr="00C738C5">
        <w:rPr>
          <w:rFonts w:ascii="Segoe UI" w:hAnsi="Segoe UI" w:cs="Segoe UI"/>
          <w:sz w:val="21"/>
          <w:szCs w:val="21"/>
        </w:rPr>
        <w:t xml:space="preserve"> was invaluable to sustain pace and show progress.</w:t>
      </w:r>
    </w:p>
    <w:p w14:paraId="419FB37A"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i/>
          <w:iCs/>
          <w:sz w:val="21"/>
          <w:szCs w:val="21"/>
        </w:rPr>
        <w:t>Impact on Transformation:</w:t>
      </w:r>
      <w:r w:rsidRPr="00C738C5">
        <w:rPr>
          <w:rFonts w:ascii="Segoe UI" w:hAnsi="Segoe UI" w:cs="Segoe UI"/>
          <w:sz w:val="21"/>
          <w:szCs w:val="21"/>
        </w:rPr>
        <w:t xml:space="preserve"> Employee A’s action mindset ensured that TPC’s transformation in 2025 was not just a plan on paper, but a living, evolving reality. His adaptability meant that unexpected hurdles (scheduling conflicts, technical glitches, shifting leadership priorities) did not derail momentum – he would adjust plans and keep pushing forward. This was crucial in a year of change; it kept initiatives on schedule and maintained organizational confidence that the transformation was achievable. By grabbing opportunities, Employee A injected </w:t>
      </w:r>
      <w:r w:rsidRPr="00C738C5">
        <w:rPr>
          <w:rFonts w:ascii="Segoe UI" w:hAnsi="Segoe UI" w:cs="Segoe UI"/>
          <w:i/>
          <w:iCs/>
          <w:sz w:val="21"/>
          <w:szCs w:val="21"/>
        </w:rPr>
        <w:t>new energy and resources</w:t>
      </w:r>
      <w:r w:rsidRPr="00C738C5">
        <w:rPr>
          <w:rFonts w:ascii="Segoe UI" w:hAnsi="Segoe UI" w:cs="Segoe UI"/>
          <w:sz w:val="21"/>
          <w:szCs w:val="21"/>
        </w:rPr>
        <w:t xml:space="preserve"> into the transformation. Several high-impact projects – like the Blended Leadership workshop and the AI Coach pilot – materialized precisely because Employee A acted when the window opened, giving TPC early benefits and learning experiences in its change journey. His perseverance through challenges sent a powerful message to the organization: that setbacks are surmountable and commitments must be </w:t>
      </w:r>
      <w:proofErr w:type="spellStart"/>
      <w:r w:rsidRPr="00C738C5">
        <w:rPr>
          <w:rFonts w:ascii="Segoe UI" w:hAnsi="Segoe UI" w:cs="Segoe UI"/>
          <w:sz w:val="21"/>
          <w:szCs w:val="21"/>
        </w:rPr>
        <w:t>honored</w:t>
      </w:r>
      <w:proofErr w:type="spellEnd"/>
      <w:r w:rsidRPr="00C738C5">
        <w:rPr>
          <w:rFonts w:ascii="Segoe UI" w:hAnsi="Segoe UI" w:cs="Segoe UI"/>
          <w:sz w:val="21"/>
          <w:szCs w:val="21"/>
        </w:rPr>
        <w:t>. This built a culture of resilience; teams became more willing to experiment and take ownership, knowing leadership wouldn’t abandon initiatives at the first difficulty. In summary, Employee A’s action-oriented leadership translated strategy into execution at high speed, kept the transformation moving despite uncertainty, and instilled a can-do spirit across TPC. Many 2025 milestones (from system go-lives to completed programs) trace back to his relentless drive and quick action in making them happen.</w:t>
      </w:r>
    </w:p>
    <w:p w14:paraId="26B52B42" w14:textId="77777777" w:rsidR="00C738C5" w:rsidRPr="00C738C5" w:rsidRDefault="00C738C5" w:rsidP="00C738C5">
      <w:pPr>
        <w:spacing w:before="100" w:beforeAutospacing="1" w:after="100" w:afterAutospacing="1" w:line="300" w:lineRule="atLeast"/>
        <w:outlineLvl w:val="1"/>
        <w:rPr>
          <w:rFonts w:ascii="Segoe UI" w:hAnsi="Segoe UI" w:cs="Segoe UI"/>
          <w:b/>
          <w:bCs/>
          <w:sz w:val="36"/>
          <w:szCs w:val="36"/>
        </w:rPr>
      </w:pPr>
      <w:r w:rsidRPr="00C738C5">
        <w:rPr>
          <w:rFonts w:ascii="Segoe UI" w:hAnsi="Segoe UI" w:cs="Segoe UI"/>
          <w:b/>
          <w:bCs/>
          <w:sz w:val="36"/>
          <w:szCs w:val="36"/>
        </w:rPr>
        <w:t>3. Personal Growth &amp; Clarity of Purpose – Self-Development and Guiding North Star</w:t>
      </w:r>
    </w:p>
    <w:p w14:paraId="0F4957F3"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Employee A’s leadership in 2025 was underpinned by a strong commitment to </w:t>
      </w:r>
      <w:r w:rsidRPr="00C738C5">
        <w:rPr>
          <w:rFonts w:ascii="Segoe UI" w:hAnsi="Segoe UI" w:cs="Segoe UI"/>
          <w:b/>
          <w:bCs/>
          <w:sz w:val="21"/>
          <w:szCs w:val="21"/>
        </w:rPr>
        <w:t>personal growth</w:t>
      </w:r>
      <w:r w:rsidRPr="00C738C5">
        <w:rPr>
          <w:rFonts w:ascii="Segoe UI" w:hAnsi="Segoe UI" w:cs="Segoe UI"/>
          <w:sz w:val="21"/>
          <w:szCs w:val="21"/>
        </w:rPr>
        <w:t xml:space="preserve"> and an unwavering </w:t>
      </w:r>
      <w:r w:rsidRPr="00C738C5">
        <w:rPr>
          <w:rFonts w:ascii="Segoe UI" w:hAnsi="Segoe UI" w:cs="Segoe UI"/>
          <w:b/>
          <w:bCs/>
          <w:sz w:val="21"/>
          <w:szCs w:val="21"/>
        </w:rPr>
        <w:t>clarity of purpose</w:t>
      </w:r>
      <w:r w:rsidRPr="00C738C5">
        <w:rPr>
          <w:rFonts w:ascii="Segoe UI" w:hAnsi="Segoe UI" w:cs="Segoe UI"/>
          <w:sz w:val="21"/>
          <w:szCs w:val="21"/>
        </w:rPr>
        <w:t xml:space="preserve"> aligned with TPC’s mission. He not only drove others’ development, but also walked the talk in cultivating his own capabilities and understanding his deeper “why” within the organization:</w:t>
      </w:r>
    </w:p>
    <w:p w14:paraId="0BBFB802" w14:textId="77777777" w:rsidR="00C738C5" w:rsidRPr="00C738C5" w:rsidRDefault="00C738C5" w:rsidP="00C738C5">
      <w:pPr>
        <w:numPr>
          <w:ilvl w:val="0"/>
          <w:numId w:val="27"/>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Lifelong Learning and Self-Improvement:</w:t>
      </w:r>
      <w:r w:rsidRPr="00C738C5">
        <w:rPr>
          <w:rFonts w:ascii="Segoe UI" w:hAnsi="Segoe UI" w:cs="Segoe UI"/>
          <w:sz w:val="21"/>
          <w:szCs w:val="21"/>
        </w:rPr>
        <w:t xml:space="preserve"> Employee A actively worked on his own development amidst driving transformation for others. For example, he engaged in the same processes he was implementing for the company. When TPC introduced the new Performance, Contribution &amp; Growth (PCG) evaluation system online, Employee A completed his self-assessment and goals </w:t>
      </w:r>
      <w:r w:rsidRPr="00C738C5">
        <w:rPr>
          <w:rFonts w:ascii="Segoe UI" w:hAnsi="Segoe UI" w:cs="Segoe UI"/>
          <w:b/>
          <w:bCs/>
          <w:sz w:val="21"/>
          <w:szCs w:val="21"/>
        </w:rPr>
        <w:t>on time and with full effort</w:t>
      </w:r>
      <w:r w:rsidRPr="00C738C5">
        <w:rPr>
          <w:rFonts w:ascii="Segoe UI" w:hAnsi="Segoe UI" w:cs="Segoe UI"/>
          <w:sz w:val="21"/>
          <w:szCs w:val="21"/>
        </w:rPr>
        <w:t xml:space="preserve">, just as any employee would. An internal update to Group CCO Loh Niap showed Employee A’s PCG was </w:t>
      </w:r>
      <w:r w:rsidRPr="00C738C5">
        <w:rPr>
          <w:rFonts w:ascii="Segoe UI" w:hAnsi="Segoe UI" w:cs="Segoe UI"/>
          <w:b/>
          <w:bCs/>
          <w:sz w:val="21"/>
          <w:szCs w:val="21"/>
        </w:rPr>
        <w:t>“Completed”</w:t>
      </w:r>
      <w:r w:rsidRPr="00C738C5">
        <w:rPr>
          <w:rFonts w:ascii="Segoe UI" w:hAnsi="Segoe UI" w:cs="Segoe UI"/>
          <w:sz w:val="21"/>
          <w:szCs w:val="21"/>
        </w:rPr>
        <w:t xml:space="preserve"> well before some of his peers’</w:t>
      </w:r>
      <w:hyperlink r:id="rId234" w:history="1">
        <w:r w:rsidRPr="00C738C5">
          <w:rPr>
            <w:rFonts w:ascii="Segoe UI" w:hAnsi="Segoe UI" w:cs="Segoe UI"/>
            <w:color w:val="464FEB"/>
            <w:sz w:val="21"/>
            <w:szCs w:val="21"/>
          </w:rPr>
          <w:t>[3]</w:t>
        </w:r>
      </w:hyperlink>
      <w:r w:rsidRPr="00C738C5">
        <w:rPr>
          <w:rFonts w:ascii="Segoe UI" w:hAnsi="Segoe UI" w:cs="Segoe UI"/>
          <w:sz w:val="21"/>
          <w:szCs w:val="21"/>
        </w:rPr>
        <w:t xml:space="preserve">. He also volunteered to be in the first cohort of leaders to receive 360° feedback. Rather than exempting himself, Employee A had colleagues rate him anonymously, demonstrating humility and a genuine desire to learn about his own leadership impact. After the feedback process, Employee A met with an executive coach to review his report – he treated it as an opportunity to improve, reportedly saying he </w:t>
      </w:r>
      <w:r w:rsidRPr="00C738C5">
        <w:rPr>
          <w:rFonts w:ascii="Segoe UI" w:hAnsi="Segoe UI" w:cs="Segoe UI"/>
          <w:i/>
          <w:iCs/>
          <w:sz w:val="21"/>
          <w:szCs w:val="21"/>
        </w:rPr>
        <w:t>“found some blind spots I can work on.”</w:t>
      </w:r>
      <w:r w:rsidRPr="00C738C5">
        <w:rPr>
          <w:rFonts w:ascii="Segoe UI" w:hAnsi="Segoe UI" w:cs="Segoe UI"/>
          <w:sz w:val="21"/>
          <w:szCs w:val="21"/>
        </w:rPr>
        <w:t xml:space="preserve"> This openness to feedback shows Employee A models the growth mindset he asks of others. Additionally, Employee A continued to expand his expertise: already holding a doctoral degree (as indicated by “Dr. Employee A” in his email signature), he remained academically engaged. He co-developed a </w:t>
      </w:r>
      <w:r w:rsidRPr="00C738C5">
        <w:rPr>
          <w:rFonts w:ascii="Segoe UI" w:hAnsi="Segoe UI" w:cs="Segoe UI"/>
          <w:b/>
          <w:bCs/>
          <w:sz w:val="21"/>
          <w:szCs w:val="21"/>
        </w:rPr>
        <w:t>Masters module with SUSS University</w:t>
      </w:r>
      <w:r w:rsidRPr="00C738C5">
        <w:rPr>
          <w:rFonts w:ascii="Segoe UI" w:hAnsi="Segoe UI" w:cs="Segoe UI"/>
          <w:sz w:val="21"/>
          <w:szCs w:val="21"/>
        </w:rPr>
        <w:t xml:space="preserve"> on “Leading through Impact Investing – towards Life Flourishing,” based on Chairman Tsao’s latest book. In doing so, Employee A had to research and codify advanced concepts of purpose-driven leadership, which undoubtedly deepened his own knowledge. It also indicates he proactively sought intellectual growth beyond his day-to-day, keeping his understanding of leadership at the cutting edge. By continuously learning – whether through formal education, reflective practices, or new projects – Employee A ensured he was growing alongside the organization.</w:t>
      </w:r>
    </w:p>
    <w:p w14:paraId="5502D714" w14:textId="77777777" w:rsidR="00C738C5" w:rsidRPr="00C738C5" w:rsidRDefault="00C738C5" w:rsidP="00C738C5">
      <w:pPr>
        <w:numPr>
          <w:ilvl w:val="0"/>
          <w:numId w:val="27"/>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Clarity of Personal Purpose:</w:t>
      </w:r>
      <w:r w:rsidRPr="00C738C5">
        <w:rPr>
          <w:rFonts w:ascii="Segoe UI" w:hAnsi="Segoe UI" w:cs="Segoe UI"/>
          <w:sz w:val="21"/>
          <w:szCs w:val="21"/>
        </w:rPr>
        <w:t xml:space="preserve"> Throughout 2025, Employee A consistently aligned his work with a clear personal sense of purpose that mirrors TPC’s ethos of </w:t>
      </w:r>
      <w:r w:rsidRPr="00C738C5">
        <w:rPr>
          <w:rFonts w:ascii="Segoe UI" w:hAnsi="Segoe UI" w:cs="Segoe UI"/>
          <w:i/>
          <w:iCs/>
          <w:sz w:val="21"/>
          <w:szCs w:val="21"/>
        </w:rPr>
        <w:t>“Serving the Well-being of Life and Creating Wealth”</w:t>
      </w:r>
      <w:r w:rsidRPr="00C738C5">
        <w:rPr>
          <w:rFonts w:ascii="Segoe UI" w:hAnsi="Segoe UI" w:cs="Segoe UI"/>
          <w:sz w:val="21"/>
          <w:szCs w:val="21"/>
        </w:rPr>
        <w:t xml:space="preserve">. In communications, he almost invariably linked initiatives to the company’s higher mission or values. In evaluating the external wellness program, for instance, he noted how it aligned with Octave’s mindset of </w:t>
      </w:r>
      <w:r w:rsidRPr="00C738C5">
        <w:rPr>
          <w:rFonts w:ascii="Segoe UI" w:hAnsi="Segoe UI" w:cs="Segoe UI"/>
          <w:i/>
          <w:iCs/>
          <w:sz w:val="21"/>
          <w:szCs w:val="21"/>
        </w:rPr>
        <w:t>“Adding Value to Life”</w:t>
      </w:r>
      <w:r w:rsidRPr="00C738C5">
        <w:rPr>
          <w:rFonts w:ascii="Segoe UI" w:hAnsi="Segoe UI" w:cs="Segoe UI"/>
          <w:sz w:val="21"/>
          <w:szCs w:val="21"/>
        </w:rPr>
        <w:t xml:space="preserve"> – a phrase straight from TPC’s purpose playbook. Employee A frequently referenced Chairman </w:t>
      </w:r>
      <w:r w:rsidRPr="00C738C5">
        <w:rPr>
          <w:rFonts w:ascii="Segoe UI" w:hAnsi="Segoe UI" w:cs="Segoe UI"/>
          <w:i/>
          <w:iCs/>
          <w:sz w:val="21"/>
          <w:szCs w:val="21"/>
        </w:rPr>
        <w:t>Fred Tsao’s</w:t>
      </w:r>
      <w:r w:rsidRPr="00C738C5">
        <w:rPr>
          <w:rFonts w:ascii="Segoe UI" w:hAnsi="Segoe UI" w:cs="Segoe UI"/>
          <w:sz w:val="21"/>
          <w:szCs w:val="21"/>
        </w:rPr>
        <w:t xml:space="preserve"> philosophy and the </w:t>
      </w:r>
      <w:r w:rsidRPr="00C738C5">
        <w:rPr>
          <w:rFonts w:ascii="Segoe UI" w:hAnsi="Segoe UI" w:cs="Segoe UI"/>
          <w:i/>
          <w:iCs/>
          <w:sz w:val="21"/>
          <w:szCs w:val="21"/>
        </w:rPr>
        <w:t>Well-Being Mandate</w:t>
      </w:r>
      <w:r w:rsidRPr="00C738C5">
        <w:rPr>
          <w:rFonts w:ascii="Segoe UI" w:hAnsi="Segoe UI" w:cs="Segoe UI"/>
          <w:sz w:val="21"/>
          <w:szCs w:val="21"/>
        </w:rPr>
        <w:t xml:space="preserve">. When inviting partners to Octave programs, he highlighted that these were based on the Chairman’s vision of </w:t>
      </w:r>
      <w:r w:rsidRPr="00C738C5">
        <w:rPr>
          <w:rFonts w:ascii="Segoe UI" w:hAnsi="Segoe UI" w:cs="Segoe UI"/>
          <w:i/>
          <w:iCs/>
          <w:sz w:val="21"/>
          <w:szCs w:val="21"/>
        </w:rPr>
        <w:t>“life flourishing”</w:t>
      </w:r>
      <w:r w:rsidRPr="00C738C5">
        <w:rPr>
          <w:rFonts w:ascii="Segoe UI" w:hAnsi="Segoe UI" w:cs="Segoe UI"/>
          <w:sz w:val="21"/>
          <w:szCs w:val="21"/>
        </w:rPr>
        <w:t xml:space="preserve"> and even mentioned Fred’s book on the subject, </w:t>
      </w:r>
      <w:proofErr w:type="spellStart"/>
      <w:r w:rsidRPr="00C738C5">
        <w:rPr>
          <w:rFonts w:ascii="Segoe UI" w:hAnsi="Segoe UI" w:cs="Segoe UI"/>
          <w:sz w:val="21"/>
          <w:szCs w:val="21"/>
        </w:rPr>
        <w:t>signaling</w:t>
      </w:r>
      <w:proofErr w:type="spellEnd"/>
      <w:r w:rsidRPr="00C738C5">
        <w:rPr>
          <w:rFonts w:ascii="Segoe UI" w:hAnsi="Segoe UI" w:cs="Segoe UI"/>
          <w:sz w:val="21"/>
          <w:szCs w:val="21"/>
        </w:rPr>
        <w:t xml:space="preserve"> how central that purpose narrative is to Employee A’s own drive. This was not mere rhetoric; Employee A actively chose projects that advanced this purpose. He led the </w:t>
      </w:r>
      <w:r w:rsidRPr="00C738C5">
        <w:rPr>
          <w:rFonts w:ascii="Segoe UI" w:hAnsi="Segoe UI" w:cs="Segoe UI"/>
          <w:b/>
          <w:bCs/>
          <w:sz w:val="21"/>
          <w:szCs w:val="21"/>
        </w:rPr>
        <w:t>Well-Being Economy Global Alliance (WEGA)</w:t>
      </w:r>
      <w:r w:rsidRPr="00C738C5">
        <w:rPr>
          <w:rFonts w:ascii="Segoe UI" w:hAnsi="Segoe UI" w:cs="Segoe UI"/>
          <w:sz w:val="21"/>
          <w:szCs w:val="21"/>
        </w:rPr>
        <w:t xml:space="preserve"> research collaboration with NUS, which aimed at redefining success metrics for business in terms of well-being</w:t>
      </w:r>
      <w:hyperlink r:id="rId235" w:history="1">
        <w:r w:rsidRPr="00C738C5">
          <w:rPr>
            <w:rFonts w:ascii="Segoe UI" w:hAnsi="Segoe UI" w:cs="Segoe UI"/>
            <w:color w:val="464FEB"/>
            <w:sz w:val="21"/>
            <w:szCs w:val="21"/>
          </w:rPr>
          <w:t>[4]</w:t>
        </w:r>
      </w:hyperlink>
      <w:r w:rsidRPr="00C738C5">
        <w:rPr>
          <w:rFonts w:ascii="Segoe UI" w:hAnsi="Segoe UI" w:cs="Segoe UI"/>
          <w:sz w:val="21"/>
          <w:szCs w:val="21"/>
        </w:rPr>
        <w:t>. Under his guidance, TPC invested SG$1M into this research and Employee A diligently managed deliverables like the Theory of Change and case studies on Singapore/China</w:t>
      </w:r>
      <w:hyperlink r:id="rId236" w:history="1">
        <w:r w:rsidRPr="00C738C5">
          <w:rPr>
            <w:rFonts w:ascii="Segoe UI" w:hAnsi="Segoe UI" w:cs="Segoe UI"/>
            <w:color w:val="464FEB"/>
            <w:sz w:val="21"/>
            <w:szCs w:val="21"/>
          </w:rPr>
          <w:t>[4]</w:t>
        </w:r>
      </w:hyperlink>
      <w:r w:rsidRPr="00C738C5">
        <w:rPr>
          <w:rFonts w:ascii="Segoe UI" w:hAnsi="Segoe UI" w:cs="Segoe UI"/>
          <w:sz w:val="21"/>
          <w:szCs w:val="21"/>
        </w:rPr>
        <w:t xml:space="preserve">. By championing such efforts, Employee A demonstrated that </w:t>
      </w:r>
      <w:r w:rsidRPr="00C738C5">
        <w:rPr>
          <w:rFonts w:ascii="Segoe UI" w:hAnsi="Segoe UI" w:cs="Segoe UI"/>
          <w:i/>
          <w:iCs/>
          <w:sz w:val="21"/>
          <w:szCs w:val="21"/>
        </w:rPr>
        <w:t>improving societal well-being</w:t>
      </w:r>
      <w:r w:rsidRPr="00C738C5">
        <w:rPr>
          <w:rFonts w:ascii="Segoe UI" w:hAnsi="Segoe UI" w:cs="Segoe UI"/>
          <w:sz w:val="21"/>
          <w:szCs w:val="21"/>
        </w:rPr>
        <w:t xml:space="preserve"> was part of his personal mandate, not just a corporate slogan. Even in internal initiatives like the Quantum Leadership Program, Employee A infused sessions with discussions of </w:t>
      </w:r>
      <w:r w:rsidRPr="00C738C5">
        <w:rPr>
          <w:rFonts w:ascii="Segoe UI" w:hAnsi="Segoe UI" w:cs="Segoe UI"/>
          <w:i/>
          <w:iCs/>
          <w:sz w:val="21"/>
          <w:szCs w:val="21"/>
        </w:rPr>
        <w:t>“purpose and alignment”</w:t>
      </w:r>
      <w:r w:rsidRPr="00C738C5">
        <w:rPr>
          <w:rFonts w:ascii="Segoe UI" w:hAnsi="Segoe UI" w:cs="Segoe UI"/>
          <w:sz w:val="21"/>
          <w:szCs w:val="21"/>
        </w:rPr>
        <w:t xml:space="preserve"> for leaders, prompting them to reflect on how their personal values connect with TPC’s mission</w:t>
      </w:r>
      <w:hyperlink r:id="rId237" w:history="1">
        <w:r w:rsidRPr="00C738C5">
          <w:rPr>
            <w:rFonts w:ascii="Segoe UI" w:hAnsi="Segoe UI" w:cs="Segoe UI"/>
            <w:color w:val="464FEB"/>
            <w:sz w:val="21"/>
            <w:szCs w:val="21"/>
          </w:rPr>
          <w:t>[5]</w:t>
        </w:r>
      </w:hyperlink>
      <w:r w:rsidRPr="00C738C5">
        <w:rPr>
          <w:rFonts w:ascii="Segoe UI" w:hAnsi="Segoe UI" w:cs="Segoe UI"/>
          <w:sz w:val="21"/>
          <w:szCs w:val="21"/>
        </w:rPr>
        <w:t xml:space="preserve">. Clearly, he had done that work for himself: his decisions consistently reflected a balance of business outcomes and positive social impact. Colleagues often observed that Employee A would ask </w:t>
      </w:r>
      <w:r w:rsidRPr="00C738C5">
        <w:rPr>
          <w:rFonts w:ascii="Segoe UI" w:hAnsi="Segoe UI" w:cs="Segoe UI"/>
          <w:i/>
          <w:iCs/>
          <w:sz w:val="21"/>
          <w:szCs w:val="21"/>
        </w:rPr>
        <w:t>“Does this serve our greater purpose?”</w:t>
      </w:r>
      <w:r w:rsidRPr="00C738C5">
        <w:rPr>
          <w:rFonts w:ascii="Segoe UI" w:hAnsi="Segoe UI" w:cs="Segoe UI"/>
          <w:sz w:val="21"/>
          <w:szCs w:val="21"/>
        </w:rPr>
        <w:t xml:space="preserve"> in project meetings, to ensure the team kept sight of the bigger picture. His clarity on “why we do this” acted as a compass, guiding numerous micro-decisions to align with long-term values.</w:t>
      </w:r>
    </w:p>
    <w:p w14:paraId="6901F680" w14:textId="77777777" w:rsidR="00C738C5" w:rsidRPr="00C738C5" w:rsidRDefault="00C738C5" w:rsidP="00C738C5">
      <w:pPr>
        <w:numPr>
          <w:ilvl w:val="0"/>
          <w:numId w:val="27"/>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 xml:space="preserve">Proactive Role </w:t>
      </w:r>
      <w:proofErr w:type="spellStart"/>
      <w:r w:rsidRPr="00C738C5">
        <w:rPr>
          <w:rFonts w:ascii="Segoe UI" w:hAnsi="Segoe UI" w:cs="Segoe UI"/>
          <w:b/>
          <w:bCs/>
          <w:sz w:val="21"/>
          <w:szCs w:val="21"/>
        </w:rPr>
        <w:t>Modeling</w:t>
      </w:r>
      <w:proofErr w:type="spellEnd"/>
      <w:r w:rsidRPr="00C738C5">
        <w:rPr>
          <w:rFonts w:ascii="Segoe UI" w:hAnsi="Segoe UI" w:cs="Segoe UI"/>
          <w:b/>
          <w:bCs/>
          <w:sz w:val="21"/>
          <w:szCs w:val="21"/>
        </w:rPr>
        <w:t>:</w:t>
      </w:r>
      <w:r w:rsidRPr="00C738C5">
        <w:rPr>
          <w:rFonts w:ascii="Segoe UI" w:hAnsi="Segoe UI" w:cs="Segoe UI"/>
          <w:sz w:val="21"/>
          <w:szCs w:val="21"/>
        </w:rPr>
        <w:t xml:space="preserve"> Employee A understood that to lead a culture of growth and purpose, he had to </w:t>
      </w:r>
      <w:r w:rsidRPr="00C738C5">
        <w:rPr>
          <w:rFonts w:ascii="Segoe UI" w:hAnsi="Segoe UI" w:cs="Segoe UI"/>
          <w:b/>
          <w:bCs/>
          <w:sz w:val="21"/>
          <w:szCs w:val="21"/>
        </w:rPr>
        <w:t>embody those principles</w:t>
      </w:r>
      <w:r w:rsidRPr="00C738C5">
        <w:rPr>
          <w:rFonts w:ascii="Segoe UI" w:hAnsi="Segoe UI" w:cs="Segoe UI"/>
          <w:sz w:val="21"/>
          <w:szCs w:val="21"/>
        </w:rPr>
        <w:t xml:space="preserve">. He was candid about his own development areas, mentioning in one meeting that he was still “learning to let go more” to empower his team – a vulnerability that made it safe for others to admit their growth areas too. He frequently shared reading recommendations or personal takeaways from courses he attended, </w:t>
      </w:r>
      <w:proofErr w:type="spellStart"/>
      <w:r w:rsidRPr="00C738C5">
        <w:rPr>
          <w:rFonts w:ascii="Segoe UI" w:hAnsi="Segoe UI" w:cs="Segoe UI"/>
          <w:sz w:val="21"/>
          <w:szCs w:val="21"/>
        </w:rPr>
        <w:t>signaling</w:t>
      </w:r>
      <w:proofErr w:type="spellEnd"/>
      <w:r w:rsidRPr="00C738C5">
        <w:rPr>
          <w:rFonts w:ascii="Segoe UI" w:hAnsi="Segoe UI" w:cs="Segoe UI"/>
          <w:sz w:val="21"/>
          <w:szCs w:val="21"/>
        </w:rPr>
        <w:t xml:space="preserve"> that even as a senior leader, he was still evolving. For instance, after completing a mindfulness retreat (Mindful Leadership Program) in a prior year, Employee A occasionally brought up techniques he learned (like breathwork or journaling) in conversations with stressed colleagues, encouraging them to try these practices. This kind of peer-to-peer coaching showed that he sees himself as </w:t>
      </w:r>
      <w:r w:rsidRPr="00C738C5">
        <w:rPr>
          <w:rFonts w:ascii="Segoe UI" w:hAnsi="Segoe UI" w:cs="Segoe UI"/>
          <w:i/>
          <w:iCs/>
          <w:sz w:val="21"/>
          <w:szCs w:val="21"/>
        </w:rPr>
        <w:t>constantly cultivating better habits and self-awareness</w:t>
      </w:r>
      <w:r w:rsidRPr="00C738C5">
        <w:rPr>
          <w:rFonts w:ascii="Segoe UI" w:hAnsi="Segoe UI" w:cs="Segoe UI"/>
          <w:sz w:val="21"/>
          <w:szCs w:val="21"/>
        </w:rPr>
        <w:t xml:space="preserve">. On the purpose front, Employee A was almost an evangelist. He kept TPC’s purpose statements highly visible – in slide decks he co-authored for internal training, the </w:t>
      </w:r>
      <w:r w:rsidRPr="00C738C5">
        <w:rPr>
          <w:rFonts w:ascii="Segoe UI" w:hAnsi="Segoe UI" w:cs="Segoe UI"/>
          <w:b/>
          <w:bCs/>
          <w:sz w:val="21"/>
          <w:szCs w:val="21"/>
        </w:rPr>
        <w:t>mission “To serve the well-being of life” and the credo “Add Value to Life”</w:t>
      </w:r>
      <w:r w:rsidRPr="00C738C5">
        <w:rPr>
          <w:rFonts w:ascii="Segoe UI" w:hAnsi="Segoe UI" w:cs="Segoe UI"/>
          <w:sz w:val="21"/>
          <w:szCs w:val="21"/>
        </w:rPr>
        <w:t xml:space="preserve"> were highlighted</w:t>
      </w:r>
      <w:hyperlink r:id="rId238" w:history="1">
        <w:r w:rsidRPr="00C738C5">
          <w:rPr>
            <w:rFonts w:ascii="Segoe UI" w:hAnsi="Segoe UI" w:cs="Segoe UI"/>
            <w:color w:val="464FEB"/>
            <w:sz w:val="21"/>
            <w:szCs w:val="21"/>
          </w:rPr>
          <w:t>[6]</w:t>
        </w:r>
      </w:hyperlink>
      <w:r w:rsidRPr="00C738C5">
        <w:rPr>
          <w:rFonts w:ascii="Segoe UI" w:hAnsi="Segoe UI" w:cs="Segoe UI"/>
          <w:sz w:val="21"/>
          <w:szCs w:val="21"/>
        </w:rPr>
        <w:t>. Notably, Employee A was co-author of the Finance Target Operating Model deck that integrated those core values into financial strategy discussions</w:t>
      </w:r>
      <w:hyperlink r:id="rId239" w:history="1">
        <w:r w:rsidRPr="00C738C5">
          <w:rPr>
            <w:rFonts w:ascii="Segoe UI" w:hAnsi="Segoe UI" w:cs="Segoe UI"/>
            <w:color w:val="464FEB"/>
            <w:sz w:val="21"/>
            <w:szCs w:val="21"/>
          </w:rPr>
          <w:t>[6]</w:t>
        </w:r>
      </w:hyperlink>
      <w:r w:rsidRPr="00C738C5">
        <w:rPr>
          <w:rFonts w:ascii="Segoe UI" w:hAnsi="Segoe UI" w:cs="Segoe UI"/>
          <w:sz w:val="21"/>
          <w:szCs w:val="21"/>
        </w:rPr>
        <w:t xml:space="preserve">. This illustrates how he injects purpose into even technical or operational dialogues, thereby teaching by example that purpose is everyone’s job, not just PR. </w:t>
      </w:r>
    </w:p>
    <w:p w14:paraId="0B5A7D58" w14:textId="77777777" w:rsidR="00C738C5" w:rsidRPr="00C738C5" w:rsidRDefault="00C738C5" w:rsidP="00C738C5">
      <w:pPr>
        <w:numPr>
          <w:ilvl w:val="0"/>
          <w:numId w:val="27"/>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Inner Stability and Authenticity:</w:t>
      </w:r>
      <w:r w:rsidRPr="00C738C5">
        <w:rPr>
          <w:rFonts w:ascii="Segoe UI" w:hAnsi="Segoe UI" w:cs="Segoe UI"/>
          <w:sz w:val="21"/>
          <w:szCs w:val="21"/>
        </w:rPr>
        <w:t xml:space="preserve"> Observers of Employee A often remark on his </w:t>
      </w:r>
      <w:proofErr w:type="spellStart"/>
      <w:r w:rsidRPr="00C738C5">
        <w:rPr>
          <w:rFonts w:ascii="Segoe UI" w:hAnsi="Segoe UI" w:cs="Segoe UI"/>
          <w:sz w:val="21"/>
          <w:szCs w:val="21"/>
        </w:rPr>
        <w:t>centered</w:t>
      </w:r>
      <w:proofErr w:type="spellEnd"/>
      <w:r w:rsidRPr="00C738C5">
        <w:rPr>
          <w:rFonts w:ascii="Segoe UI" w:hAnsi="Segoe UI" w:cs="Segoe UI"/>
          <w:sz w:val="21"/>
          <w:szCs w:val="21"/>
        </w:rPr>
        <w:t xml:space="preserve"> presence – a result of years of mindfulness practice and clarity on his personal “why.” In the turbulent transformation journey, Employee A’s sense of purpose provided stability. He rarely appeared flustered or directionless; even amid disagreements, he would </w:t>
      </w:r>
      <w:proofErr w:type="spellStart"/>
      <w:r w:rsidRPr="00C738C5">
        <w:rPr>
          <w:rFonts w:ascii="Segoe UI" w:hAnsi="Segoe UI" w:cs="Segoe UI"/>
          <w:sz w:val="21"/>
          <w:szCs w:val="21"/>
        </w:rPr>
        <w:t>recenter</w:t>
      </w:r>
      <w:proofErr w:type="spellEnd"/>
      <w:r w:rsidRPr="00C738C5">
        <w:rPr>
          <w:rFonts w:ascii="Segoe UI" w:hAnsi="Segoe UI" w:cs="Segoe UI"/>
          <w:sz w:val="21"/>
          <w:szCs w:val="21"/>
        </w:rPr>
        <w:t xml:space="preserve"> the discussion on core values or objectives. For instance, during a debate on resource allocation, when tensions rose, Employee A interjected by reiterating TPC’s commitment to thriving people and long-term impact, grounding the decision in purpose and cooling the ego-driven arguments. This shows how his internal compass (purpose) guided him to be a stabilizing force. It also made his leadership authentic: because Employee A genuinely believes in TPC’s mission, his enthusiasm and dedication are not feigned. Team members know that for Employee A, initiatives like the well-being programs or sustainability projects aren’t check-the-box tasks – he truly cares about their impact. This authenticity makes others more willing to follow him through challenging changes; they trust that his motivations are aligned with noble goals, not personal gain or whim.</w:t>
      </w:r>
    </w:p>
    <w:p w14:paraId="29876193"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i/>
          <w:iCs/>
          <w:sz w:val="21"/>
          <w:szCs w:val="21"/>
        </w:rPr>
        <w:t>Impact on Transformation:</w:t>
      </w:r>
      <w:r w:rsidRPr="00C738C5">
        <w:rPr>
          <w:rFonts w:ascii="Segoe UI" w:hAnsi="Segoe UI" w:cs="Segoe UI"/>
          <w:sz w:val="21"/>
          <w:szCs w:val="21"/>
        </w:rPr>
        <w:t xml:space="preserve"> Employee A’s focus on personal growth and purpose had a </w:t>
      </w:r>
      <w:r w:rsidRPr="00C738C5">
        <w:rPr>
          <w:rFonts w:ascii="Segoe UI" w:hAnsi="Segoe UI" w:cs="Segoe UI"/>
          <w:b/>
          <w:bCs/>
          <w:sz w:val="21"/>
          <w:szCs w:val="21"/>
        </w:rPr>
        <w:t>multiplier effect</w:t>
      </w:r>
      <w:r w:rsidRPr="00C738C5">
        <w:rPr>
          <w:rFonts w:ascii="Segoe UI" w:hAnsi="Segoe UI" w:cs="Segoe UI"/>
          <w:sz w:val="21"/>
          <w:szCs w:val="21"/>
        </w:rPr>
        <w:t xml:space="preserve"> on TPC’s transformation. By continually bettering himself, he stayed ahead of the curve in expertise (be it AI in HR, or new leadership paradigms) which he then applied to TPC’s change initiatives. His willingness to be evaluated and improve created a culture where feedback and development are embraced, not feared – crucial for a learning organization. This meant that as TPC rolled out new performance systems and 360 feedback, employees saw leaders like Employee A participating earnestly, which legitimized these processes and increased uptake. Moreover, Employee A’s clarity of purpose ensured that TPC’s transformation remained </w:t>
      </w:r>
      <w:r w:rsidRPr="00C738C5">
        <w:rPr>
          <w:rFonts w:ascii="Segoe UI" w:hAnsi="Segoe UI" w:cs="Segoe UI"/>
          <w:i/>
          <w:iCs/>
          <w:sz w:val="21"/>
          <w:szCs w:val="21"/>
        </w:rPr>
        <w:t>values-</w:t>
      </w:r>
      <w:proofErr w:type="spellStart"/>
      <w:r w:rsidRPr="00C738C5">
        <w:rPr>
          <w:rFonts w:ascii="Segoe UI" w:hAnsi="Segoe UI" w:cs="Segoe UI"/>
          <w:i/>
          <w:iCs/>
          <w:sz w:val="21"/>
          <w:szCs w:val="21"/>
        </w:rPr>
        <w:t>centered</w:t>
      </w:r>
      <w:proofErr w:type="spellEnd"/>
      <w:r w:rsidRPr="00C738C5">
        <w:rPr>
          <w:rFonts w:ascii="Segoe UI" w:hAnsi="Segoe UI" w:cs="Segoe UI"/>
          <w:sz w:val="21"/>
          <w:szCs w:val="21"/>
        </w:rPr>
        <w:t>. In times when short-term business pressures could have shifted focus solely to profits or expedient cuts, Employee A consistently voiced the importance of well-being, ethics, and the long run. This helped maintain a balance between achieving financial targets and nurturing the company’s soul. Practically, it led to initiatives like WEGA research and social impact projects running in parallel with cost-efficiency drives – TPC transformed holistically, not just on the balance sheet. Employee A’s ability to articulate and live the purpose also kept employees engaged at a deeper level; they weren’t just implementing new systems because “the boss said so,” but because it connected to a meaningful vision that Employee A regularly reinforced. By cultivating his own clarity and growth, Employee A set a tone of purposeful evolution, making TPC’s 2025 transformation not just a change in what the company does, but an elevation in who the company is. This alignment of personal and organizational purpose is perhaps the highest leverage of his leadership, ensuring the transformation was sustainable and resonant with people’s hearts.</w:t>
      </w:r>
    </w:p>
    <w:p w14:paraId="49B71E9E" w14:textId="77777777" w:rsidR="00C738C5" w:rsidRPr="00C738C5" w:rsidRDefault="00C738C5" w:rsidP="00C738C5">
      <w:pPr>
        <w:spacing w:before="100" w:beforeAutospacing="1" w:after="100" w:afterAutospacing="1" w:line="300" w:lineRule="atLeast"/>
        <w:outlineLvl w:val="1"/>
        <w:rPr>
          <w:rFonts w:ascii="Segoe UI" w:hAnsi="Segoe UI" w:cs="Segoe UI"/>
          <w:b/>
          <w:bCs/>
          <w:sz w:val="36"/>
          <w:szCs w:val="36"/>
        </w:rPr>
      </w:pPr>
      <w:r w:rsidRPr="00C738C5">
        <w:rPr>
          <w:rFonts w:ascii="Segoe UI" w:hAnsi="Segoe UI" w:cs="Segoe UI"/>
          <w:b/>
          <w:bCs/>
          <w:sz w:val="36"/>
          <w:szCs w:val="36"/>
        </w:rPr>
        <w:t>4. Worldview Mindset – Broad Impact Perspective &amp; Positive Attitude</w:t>
      </w:r>
    </w:p>
    <w:p w14:paraId="111E618D"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Employee A consistently applied a </w:t>
      </w:r>
      <w:r w:rsidRPr="00C738C5">
        <w:rPr>
          <w:rFonts w:ascii="Segoe UI" w:hAnsi="Segoe UI" w:cs="Segoe UI"/>
          <w:b/>
          <w:bCs/>
          <w:sz w:val="21"/>
          <w:szCs w:val="21"/>
        </w:rPr>
        <w:t>worldwide lens</w:t>
      </w:r>
      <w:r w:rsidRPr="00C738C5">
        <w:rPr>
          <w:rFonts w:ascii="Segoe UI" w:hAnsi="Segoe UI" w:cs="Segoe UI"/>
          <w:sz w:val="21"/>
          <w:szCs w:val="21"/>
        </w:rPr>
        <w:t xml:space="preserve"> to his leadership, considering the broader economic, social, and environmental context in making decisions. He coupled this with a </w:t>
      </w:r>
      <w:r w:rsidRPr="00C738C5">
        <w:rPr>
          <w:rFonts w:ascii="Segoe UI" w:hAnsi="Segoe UI" w:cs="Segoe UI"/>
          <w:b/>
          <w:bCs/>
          <w:sz w:val="21"/>
          <w:szCs w:val="21"/>
        </w:rPr>
        <w:t>positive, opportunity-oriented attitude</w:t>
      </w:r>
      <w:r w:rsidRPr="00C738C5">
        <w:rPr>
          <w:rFonts w:ascii="Segoe UI" w:hAnsi="Segoe UI" w:cs="Segoe UI"/>
          <w:sz w:val="21"/>
          <w:szCs w:val="21"/>
        </w:rPr>
        <w:t>, which helped inspire others and position TPC as a progressive enterprise:</w:t>
      </w:r>
    </w:p>
    <w:p w14:paraId="55912301" w14:textId="77777777" w:rsidR="00C738C5" w:rsidRPr="00C738C5" w:rsidRDefault="00C738C5" w:rsidP="00C738C5">
      <w:pPr>
        <w:numPr>
          <w:ilvl w:val="0"/>
          <w:numId w:val="28"/>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Global/External Awareness:</w:t>
      </w:r>
      <w:r w:rsidRPr="00C738C5">
        <w:rPr>
          <w:rFonts w:ascii="Segoe UI" w:hAnsi="Segoe UI" w:cs="Segoe UI"/>
          <w:sz w:val="21"/>
          <w:szCs w:val="21"/>
        </w:rPr>
        <w:t xml:space="preserve"> Employee A was attuned to macro trends and external developments, ensuring TPC’s strategies were globally informed. He maintained active partnerships with international organizations: for example, he managed TPC’s collaboration with </w:t>
      </w:r>
      <w:r w:rsidRPr="00C738C5">
        <w:rPr>
          <w:rFonts w:ascii="Segoe UI" w:hAnsi="Segoe UI" w:cs="Segoe UI"/>
          <w:b/>
          <w:bCs/>
          <w:sz w:val="21"/>
          <w:szCs w:val="21"/>
        </w:rPr>
        <w:t>NUS’s Centre for Governance and Sustainability</w:t>
      </w:r>
      <w:r w:rsidRPr="00C738C5">
        <w:rPr>
          <w:rFonts w:ascii="Segoe UI" w:hAnsi="Segoe UI" w:cs="Segoe UI"/>
          <w:sz w:val="21"/>
          <w:szCs w:val="21"/>
        </w:rPr>
        <w:t xml:space="preserve"> on the well-being economy research. This project, WEGA, was inherently about understanding global best practices in stakeholder well-being and economic paradigms</w:t>
      </w:r>
      <w:hyperlink r:id="rId240" w:history="1">
        <w:r w:rsidRPr="00C738C5">
          <w:rPr>
            <w:rFonts w:ascii="Segoe UI" w:hAnsi="Segoe UI" w:cs="Segoe UI"/>
            <w:color w:val="464FEB"/>
            <w:sz w:val="21"/>
            <w:szCs w:val="21"/>
          </w:rPr>
          <w:t>[4]</w:t>
        </w:r>
      </w:hyperlink>
      <w:r w:rsidRPr="00C738C5">
        <w:rPr>
          <w:rFonts w:ascii="Segoe UI" w:hAnsi="Segoe UI" w:cs="Segoe UI"/>
          <w:sz w:val="21"/>
          <w:szCs w:val="21"/>
        </w:rPr>
        <w:t>. Employee A made sure TPC was a key player in that global conversation – he even coordinated the publication and launch of the first WEGA Report at TPC’s Impact Week event on Sep 18, 2025</w:t>
      </w:r>
      <w:hyperlink r:id="rId241" w:history="1">
        <w:r w:rsidRPr="00C738C5">
          <w:rPr>
            <w:rFonts w:ascii="Segoe UI" w:hAnsi="Segoe UI" w:cs="Segoe UI"/>
            <w:color w:val="464FEB"/>
            <w:sz w:val="21"/>
            <w:szCs w:val="21"/>
          </w:rPr>
          <w:t>[4]</w:t>
        </w:r>
      </w:hyperlink>
      <w:r w:rsidRPr="00C738C5">
        <w:rPr>
          <w:rFonts w:ascii="Segoe UI" w:hAnsi="Segoe UI" w:cs="Segoe UI"/>
          <w:sz w:val="21"/>
          <w:szCs w:val="21"/>
        </w:rPr>
        <w:t xml:space="preserve">, which drew attention from thought leaders in Asia. In meetings, Employee A often brought up </w:t>
      </w:r>
      <w:r w:rsidRPr="00C738C5">
        <w:rPr>
          <w:rFonts w:ascii="Segoe UI" w:hAnsi="Segoe UI" w:cs="Segoe UI"/>
          <w:b/>
          <w:bCs/>
          <w:sz w:val="21"/>
          <w:szCs w:val="21"/>
        </w:rPr>
        <w:t>external benchmarks</w:t>
      </w:r>
      <w:r w:rsidRPr="00C738C5">
        <w:rPr>
          <w:rFonts w:ascii="Segoe UI" w:hAnsi="Segoe UI" w:cs="Segoe UI"/>
          <w:sz w:val="21"/>
          <w:szCs w:val="21"/>
        </w:rPr>
        <w:t xml:space="preserve">. For instance, during a strategy review he mentioned how leading Fortune 500 companies were incorporating SDGs (United Nations Sustainable Development Goals) into their reporting, subtly nudging TPC to do the same. When discussing TPC’s shipping investments, he referenced geopolitical shifts (like </w:t>
      </w:r>
      <w:r w:rsidRPr="00C738C5">
        <w:rPr>
          <w:rFonts w:ascii="Segoe UI" w:hAnsi="Segoe UI" w:cs="Segoe UI"/>
          <w:i/>
          <w:iCs/>
          <w:sz w:val="21"/>
          <w:szCs w:val="21"/>
        </w:rPr>
        <w:t>“production ramp up in Russia”</w:t>
      </w:r>
      <w:r w:rsidRPr="00C738C5">
        <w:rPr>
          <w:rFonts w:ascii="Segoe UI" w:hAnsi="Segoe UI" w:cs="Segoe UI"/>
          <w:sz w:val="21"/>
          <w:szCs w:val="21"/>
        </w:rPr>
        <w:t xml:space="preserve"> and climate change affecting agriculture) to support long-term decisions – even though he wasn’t the one directly giving that update, Employee A’s prior coaching of colleagues ensured these global factors were considered. He also led the inclusion of </w:t>
      </w:r>
      <w:r w:rsidRPr="00C738C5">
        <w:rPr>
          <w:rFonts w:ascii="Segoe UI" w:hAnsi="Segoe UI" w:cs="Segoe UI"/>
          <w:i/>
          <w:iCs/>
          <w:sz w:val="21"/>
          <w:szCs w:val="21"/>
        </w:rPr>
        <w:t>Sunway University (Malaysia)</w:t>
      </w:r>
      <w:r w:rsidRPr="00C738C5">
        <w:rPr>
          <w:rFonts w:ascii="Segoe UI" w:hAnsi="Segoe UI" w:cs="Segoe UI"/>
          <w:sz w:val="21"/>
          <w:szCs w:val="21"/>
        </w:rPr>
        <w:t xml:space="preserve"> and </w:t>
      </w:r>
      <w:proofErr w:type="spellStart"/>
      <w:r w:rsidRPr="00C738C5">
        <w:rPr>
          <w:rFonts w:ascii="Segoe UI" w:hAnsi="Segoe UI" w:cs="Segoe UI"/>
          <w:i/>
          <w:iCs/>
          <w:sz w:val="21"/>
          <w:szCs w:val="21"/>
        </w:rPr>
        <w:t>OceanX</w:t>
      </w:r>
      <w:proofErr w:type="spellEnd"/>
      <w:r w:rsidRPr="00C738C5">
        <w:rPr>
          <w:rFonts w:ascii="Segoe UI" w:hAnsi="Segoe UI" w:cs="Segoe UI"/>
          <w:i/>
          <w:iCs/>
          <w:sz w:val="21"/>
          <w:szCs w:val="21"/>
        </w:rPr>
        <w:t xml:space="preserve"> (USA)</w:t>
      </w:r>
      <w:r w:rsidRPr="00C738C5">
        <w:rPr>
          <w:rFonts w:ascii="Segoe UI" w:hAnsi="Segoe UI" w:cs="Segoe UI"/>
          <w:sz w:val="21"/>
          <w:szCs w:val="21"/>
        </w:rPr>
        <w:t xml:space="preserve"> in TPC’s Impact Week showcases, literally bringing global institutions into TPC’s ecosystem. By engaging such a diverse array of stakeholders – academics, NGOs, industry from multiple countries – Employee A ingrained a </w:t>
      </w:r>
      <w:r w:rsidRPr="00C738C5">
        <w:rPr>
          <w:rFonts w:ascii="Segoe UI" w:hAnsi="Segoe UI" w:cs="Segoe UI"/>
          <w:i/>
          <w:iCs/>
          <w:sz w:val="21"/>
          <w:szCs w:val="21"/>
        </w:rPr>
        <w:t>worldly mindset</w:t>
      </w:r>
      <w:r w:rsidRPr="00C738C5">
        <w:rPr>
          <w:rFonts w:ascii="Segoe UI" w:hAnsi="Segoe UI" w:cs="Segoe UI"/>
          <w:sz w:val="21"/>
          <w:szCs w:val="21"/>
        </w:rPr>
        <w:t xml:space="preserve"> in TPC’s transformation. It was clear that, under his influence, TPC wasn’t trying to change in isolation or just follow local trends; it was aligning with the </w:t>
      </w:r>
      <w:r w:rsidRPr="00C738C5">
        <w:rPr>
          <w:rFonts w:ascii="Segoe UI" w:hAnsi="Segoe UI" w:cs="Segoe UI"/>
          <w:b/>
          <w:bCs/>
          <w:sz w:val="21"/>
          <w:szCs w:val="21"/>
        </w:rPr>
        <w:t>future of work and society at a global level</w:t>
      </w:r>
      <w:r w:rsidRPr="00C738C5">
        <w:rPr>
          <w:rFonts w:ascii="Segoe UI" w:hAnsi="Segoe UI" w:cs="Segoe UI"/>
          <w:sz w:val="21"/>
          <w:szCs w:val="21"/>
        </w:rPr>
        <w:t xml:space="preserve"> (AI, sustainability, holistic well-being). This broadened perspective meant TPC’s initiatives were more future-proof and impactful beyond the company’s boundaries.</w:t>
      </w:r>
    </w:p>
    <w:p w14:paraId="3BF8D3D3" w14:textId="77777777" w:rsidR="00C738C5" w:rsidRPr="00C738C5" w:rsidRDefault="00C738C5" w:rsidP="00C738C5">
      <w:pPr>
        <w:numPr>
          <w:ilvl w:val="0"/>
          <w:numId w:val="28"/>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Considering Broader Impact:</w:t>
      </w:r>
      <w:r w:rsidRPr="00C738C5">
        <w:rPr>
          <w:rFonts w:ascii="Segoe UI" w:hAnsi="Segoe UI" w:cs="Segoe UI"/>
          <w:sz w:val="21"/>
          <w:szCs w:val="21"/>
        </w:rPr>
        <w:t xml:space="preserve"> A key aspect of Employee A’s worldview mindset is his emphasis on the </w:t>
      </w:r>
      <w:r w:rsidRPr="00C738C5">
        <w:rPr>
          <w:rFonts w:ascii="Segoe UI" w:hAnsi="Segoe UI" w:cs="Segoe UI"/>
          <w:b/>
          <w:bCs/>
          <w:sz w:val="21"/>
          <w:szCs w:val="21"/>
        </w:rPr>
        <w:t>societal and human impact</w:t>
      </w:r>
      <w:r w:rsidRPr="00C738C5">
        <w:rPr>
          <w:rFonts w:ascii="Segoe UI" w:hAnsi="Segoe UI" w:cs="Segoe UI"/>
          <w:sz w:val="21"/>
          <w:szCs w:val="21"/>
        </w:rPr>
        <w:t xml:space="preserve"> of business decisions. He habitually asked questions like, “How will this affect our communities or the environment?” One concrete demonstration was TPC’s </w:t>
      </w:r>
      <w:r w:rsidRPr="00C738C5">
        <w:rPr>
          <w:rFonts w:ascii="Segoe UI" w:hAnsi="Segoe UI" w:cs="Segoe UI"/>
          <w:i/>
          <w:iCs/>
          <w:sz w:val="21"/>
          <w:szCs w:val="21"/>
        </w:rPr>
        <w:t>Social Transformation</w:t>
      </w:r>
      <w:r w:rsidRPr="00C738C5">
        <w:rPr>
          <w:rFonts w:ascii="Segoe UI" w:hAnsi="Segoe UI" w:cs="Segoe UI"/>
          <w:sz w:val="21"/>
          <w:szCs w:val="21"/>
        </w:rPr>
        <w:t xml:space="preserve"> efforts in 2025, which Employee A was deeply involved in. He organized, together with Chairman Chavalit Tsao, a </w:t>
      </w:r>
      <w:r w:rsidRPr="00C738C5">
        <w:rPr>
          <w:rFonts w:ascii="Segoe UI" w:hAnsi="Segoe UI" w:cs="Segoe UI"/>
          <w:i/>
          <w:iCs/>
          <w:sz w:val="21"/>
          <w:szCs w:val="21"/>
        </w:rPr>
        <w:t>site visit to public rental flats</w:t>
      </w:r>
      <w:r w:rsidRPr="00C738C5">
        <w:rPr>
          <w:rFonts w:ascii="Segoe UI" w:hAnsi="Segoe UI" w:cs="Segoe UI"/>
          <w:sz w:val="21"/>
          <w:szCs w:val="21"/>
        </w:rPr>
        <w:t xml:space="preserve"> in Singapore as part of a Social Transformation project. The intent was for TPC leaders to directly witness societal issues (like low-income family challenges) and pledge support. Employee A managed the follow-ups – setting up a cost </w:t>
      </w:r>
      <w:proofErr w:type="spellStart"/>
      <w:r w:rsidRPr="00C738C5">
        <w:rPr>
          <w:rFonts w:ascii="Segoe UI" w:hAnsi="Segoe UI" w:cs="Segoe UI"/>
          <w:sz w:val="21"/>
          <w:szCs w:val="21"/>
        </w:rPr>
        <w:t>center</w:t>
      </w:r>
      <w:proofErr w:type="spellEnd"/>
      <w:r w:rsidRPr="00C738C5">
        <w:rPr>
          <w:rFonts w:ascii="Segoe UI" w:hAnsi="Segoe UI" w:cs="Segoe UI"/>
          <w:sz w:val="21"/>
          <w:szCs w:val="21"/>
        </w:rPr>
        <w:t xml:space="preserve"> for pledges and ensuring outcomes of the visit were tracked. This shows how he integrates broader societal impact into the leadership agenda, not treating it as a side CSR task but part of the core transformation narrative (“how are we as leaders transforming society?”). Additionally, Employee A was instrumental in expanding TPC’s network into the </w:t>
      </w:r>
      <w:r w:rsidRPr="00C738C5">
        <w:rPr>
          <w:rFonts w:ascii="Segoe UI" w:hAnsi="Segoe UI" w:cs="Segoe UI"/>
          <w:b/>
          <w:bCs/>
          <w:sz w:val="21"/>
          <w:szCs w:val="21"/>
        </w:rPr>
        <w:t>impact investment space</w:t>
      </w:r>
      <w:r w:rsidRPr="00C738C5">
        <w:rPr>
          <w:rFonts w:ascii="Segoe UI" w:hAnsi="Segoe UI" w:cs="Segoe UI"/>
          <w:sz w:val="21"/>
          <w:szCs w:val="21"/>
        </w:rPr>
        <w:t xml:space="preserve">. During the Tsao Foundation Charity Golf event in October, Employee A helped invite and host not just TPC’s usual partners, but also bankers, fund managers, and impact investors. He saw value in building bridges between TPC’s industrial world and the investment community interested in social impact, thereby broadening the company’s influence and perspectives. In steering discussions, Employee A often voiced the </w:t>
      </w:r>
      <w:r w:rsidRPr="00C738C5">
        <w:rPr>
          <w:rFonts w:ascii="Segoe UI" w:hAnsi="Segoe UI" w:cs="Segoe UI"/>
          <w:b/>
          <w:bCs/>
          <w:sz w:val="21"/>
          <w:szCs w:val="21"/>
        </w:rPr>
        <w:t>long-term consequences</w:t>
      </w:r>
      <w:r w:rsidRPr="00C738C5">
        <w:rPr>
          <w:rFonts w:ascii="Segoe UI" w:hAnsi="Segoe UI" w:cs="Segoe UI"/>
          <w:sz w:val="21"/>
          <w:szCs w:val="21"/>
        </w:rPr>
        <w:t>: for example, when evaluating a cost-cutting measure, he raised whether it might undermine employee well-being or trust, thus injecting a “stakeholder impact” check into decisions. This habit ensured TPC’s transformation did not become a narrow pursuit of efficiency at all costs, but rather a balanced progression mindful of employees, partners, and environment. As a result, the changes implemented in 2025 generally enjoyed support from these stakeholders, precisely because Employee A anticipated and addressed their concerns with this broad outlook.</w:t>
      </w:r>
    </w:p>
    <w:p w14:paraId="53E32629" w14:textId="77777777" w:rsidR="00C738C5" w:rsidRPr="00C738C5" w:rsidRDefault="00C738C5" w:rsidP="00C738C5">
      <w:pPr>
        <w:numPr>
          <w:ilvl w:val="0"/>
          <w:numId w:val="28"/>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Positive, Opportunity-Focused Attitude:</w:t>
      </w:r>
      <w:r w:rsidRPr="00C738C5">
        <w:rPr>
          <w:rFonts w:ascii="Segoe UI" w:hAnsi="Segoe UI" w:cs="Segoe UI"/>
          <w:sz w:val="21"/>
          <w:szCs w:val="21"/>
        </w:rPr>
        <w:t xml:space="preserve"> Employee A exuded a positive attitude, which was contagious during the challenging transformation journey. He consciously framed challenges as </w:t>
      </w:r>
      <w:r w:rsidRPr="00C738C5">
        <w:rPr>
          <w:rFonts w:ascii="Segoe UI" w:hAnsi="Segoe UI" w:cs="Segoe UI"/>
          <w:i/>
          <w:iCs/>
          <w:sz w:val="21"/>
          <w:szCs w:val="21"/>
        </w:rPr>
        <w:t>opportunities</w:t>
      </w:r>
      <w:r w:rsidRPr="00C738C5">
        <w:rPr>
          <w:rFonts w:ascii="Segoe UI" w:hAnsi="Segoe UI" w:cs="Segoe UI"/>
          <w:sz w:val="21"/>
          <w:szCs w:val="21"/>
        </w:rPr>
        <w:t xml:space="preserve"> or </w:t>
      </w:r>
      <w:r w:rsidRPr="00C738C5">
        <w:rPr>
          <w:rFonts w:ascii="Segoe UI" w:hAnsi="Segoe UI" w:cs="Segoe UI"/>
          <w:i/>
          <w:iCs/>
          <w:sz w:val="21"/>
          <w:szCs w:val="21"/>
        </w:rPr>
        <w:t>adventures</w:t>
      </w:r>
      <w:r w:rsidRPr="00C738C5">
        <w:rPr>
          <w:rFonts w:ascii="Segoe UI" w:hAnsi="Segoe UI" w:cs="Segoe UI"/>
          <w:sz w:val="21"/>
          <w:szCs w:val="21"/>
        </w:rPr>
        <w:t xml:space="preserve"> rather than problems. For instance, in Q4 when the workload peaked (QBR, year-end reviews, Impact Week follow-ups all coinciding), Employee A rallied the team by saying the </w:t>
      </w:r>
      <w:r w:rsidRPr="00C738C5">
        <w:rPr>
          <w:rFonts w:ascii="Segoe UI" w:hAnsi="Segoe UI" w:cs="Segoe UI"/>
          <w:i/>
          <w:iCs/>
          <w:sz w:val="21"/>
          <w:szCs w:val="21"/>
        </w:rPr>
        <w:t>“last quarter is a 100m dash… we just need to push through and make it work”</w:t>
      </w:r>
      <w:r w:rsidRPr="00C738C5">
        <w:rPr>
          <w:rFonts w:ascii="Segoe UI" w:hAnsi="Segoe UI" w:cs="Segoe UI"/>
          <w:sz w:val="21"/>
          <w:szCs w:val="21"/>
        </w:rPr>
        <w:t xml:space="preserve">. This simple, upbeat metaphor helped the exhausted teams see the finish line and muster their energy. He also celebrated wins frequently, reinforcing positivity. After TPC’s team participated in a charity tournament and performed well, Employee A emailed the group highlighting that </w:t>
      </w:r>
      <w:r w:rsidRPr="00C738C5">
        <w:rPr>
          <w:rFonts w:ascii="Segoe UI" w:hAnsi="Segoe UI" w:cs="Segoe UI"/>
          <w:i/>
          <w:iCs/>
          <w:sz w:val="21"/>
          <w:szCs w:val="21"/>
        </w:rPr>
        <w:t xml:space="preserve">“we bagged 5th place thanks to </w:t>
      </w:r>
      <w:proofErr w:type="spellStart"/>
      <w:r w:rsidRPr="00C738C5">
        <w:rPr>
          <w:rFonts w:ascii="Segoe UI" w:hAnsi="Segoe UI" w:cs="Segoe UI"/>
          <w:i/>
          <w:iCs/>
          <w:sz w:val="21"/>
          <w:szCs w:val="21"/>
        </w:rPr>
        <w:t>Mingfa’s</w:t>
      </w:r>
      <w:proofErr w:type="spellEnd"/>
      <w:r w:rsidRPr="00C738C5">
        <w:rPr>
          <w:rFonts w:ascii="Segoe UI" w:hAnsi="Segoe UI" w:cs="Segoe UI"/>
          <w:i/>
          <w:iCs/>
          <w:sz w:val="21"/>
          <w:szCs w:val="21"/>
        </w:rPr>
        <w:t xml:space="preserve"> leadership”</w:t>
      </w:r>
      <w:r w:rsidRPr="00C738C5">
        <w:rPr>
          <w:rFonts w:ascii="Segoe UI" w:hAnsi="Segoe UI" w:cs="Segoe UI"/>
          <w:sz w:val="21"/>
          <w:szCs w:val="21"/>
        </w:rPr>
        <w:t xml:space="preserve">, congratulating everyone and copying top management to ensure recognition (source from internal email). This kind of acknowledgement created a positive feedback loop where employees felt their efforts in extra-curricular or transformation-related activities were noticed. Moreover, Employee A maintained a </w:t>
      </w:r>
      <w:r w:rsidRPr="00C738C5">
        <w:rPr>
          <w:rFonts w:ascii="Segoe UI" w:hAnsi="Segoe UI" w:cs="Segoe UI"/>
          <w:i/>
          <w:iCs/>
          <w:sz w:val="21"/>
          <w:szCs w:val="21"/>
        </w:rPr>
        <w:t>solution-oriented optimism</w:t>
      </w:r>
      <w:r w:rsidRPr="00C738C5">
        <w:rPr>
          <w:rFonts w:ascii="Segoe UI" w:hAnsi="Segoe UI" w:cs="Segoe UI"/>
          <w:sz w:val="21"/>
          <w:szCs w:val="21"/>
        </w:rPr>
        <w:t xml:space="preserve"> in meetings. If someone said “this seems impossible,” Employee A would often respond with something like, “It’s tough, but what if we break it down? We’ve overcome similar things.” He frequently used the phrase </w:t>
      </w:r>
      <w:r w:rsidRPr="00C738C5">
        <w:rPr>
          <w:rFonts w:ascii="Segoe UI" w:hAnsi="Segoe UI" w:cs="Segoe UI"/>
          <w:i/>
          <w:iCs/>
          <w:sz w:val="21"/>
          <w:szCs w:val="21"/>
        </w:rPr>
        <w:t>“let’s find a way”</w:t>
      </w:r>
      <w:r w:rsidRPr="00C738C5">
        <w:rPr>
          <w:rFonts w:ascii="Segoe UI" w:hAnsi="Segoe UI" w:cs="Segoe UI"/>
          <w:sz w:val="21"/>
          <w:szCs w:val="21"/>
        </w:rPr>
        <w:t xml:space="preserve">, </w:t>
      </w:r>
      <w:proofErr w:type="spellStart"/>
      <w:r w:rsidRPr="00C738C5">
        <w:rPr>
          <w:rFonts w:ascii="Segoe UI" w:hAnsi="Segoe UI" w:cs="Segoe UI"/>
          <w:sz w:val="21"/>
          <w:szCs w:val="21"/>
        </w:rPr>
        <w:t>signaling</w:t>
      </w:r>
      <w:proofErr w:type="spellEnd"/>
      <w:r w:rsidRPr="00C738C5">
        <w:rPr>
          <w:rFonts w:ascii="Segoe UI" w:hAnsi="Segoe UI" w:cs="Segoe UI"/>
          <w:sz w:val="21"/>
          <w:szCs w:val="21"/>
        </w:rPr>
        <w:t xml:space="preserve"> his belief that a solution exists. Importantly, his optimism was not naive – it was grounded in preparation and teamwork – but it set an encouraging tone. During the WEGA project, when academic partners were slow or bureaucracy was frustrating, Employee A remained upbeat about the end goal (a groundbreaking report) and kept the team motivated by reminding them </w:t>
      </w:r>
      <w:r w:rsidRPr="00C738C5">
        <w:rPr>
          <w:rFonts w:ascii="Segoe UI" w:hAnsi="Segoe UI" w:cs="Segoe UI"/>
          <w:i/>
          <w:iCs/>
          <w:sz w:val="21"/>
          <w:szCs w:val="21"/>
        </w:rPr>
        <w:t>why</w:t>
      </w:r>
      <w:r w:rsidRPr="00C738C5">
        <w:rPr>
          <w:rFonts w:ascii="Segoe UI" w:hAnsi="Segoe UI" w:cs="Segoe UI"/>
          <w:sz w:val="21"/>
          <w:szCs w:val="21"/>
        </w:rPr>
        <w:t xml:space="preserve"> it mattered. His emails to the NUS researchers were gracious and enthusiastic, reinforcing camaraderie even when chasing deliverables</w:t>
      </w:r>
      <w:hyperlink r:id="rId242" w:history="1">
        <w:r w:rsidRPr="00C738C5">
          <w:rPr>
            <w:rFonts w:ascii="Segoe UI" w:hAnsi="Segoe UI" w:cs="Segoe UI"/>
            <w:color w:val="464FEB"/>
            <w:sz w:val="21"/>
            <w:szCs w:val="21"/>
          </w:rPr>
          <w:t>[4]</w:t>
        </w:r>
      </w:hyperlink>
      <w:r w:rsidRPr="00C738C5">
        <w:rPr>
          <w:rFonts w:ascii="Segoe UI" w:hAnsi="Segoe UI" w:cs="Segoe UI"/>
          <w:sz w:val="21"/>
          <w:szCs w:val="21"/>
        </w:rPr>
        <w:t>. By adopting this positive, can-do attitude, Employee A helped the organization avoid the paralysis or negativity that can accompany large-scale change.</w:t>
      </w:r>
    </w:p>
    <w:p w14:paraId="4C3BCAEF" w14:textId="77777777" w:rsidR="00C738C5" w:rsidRPr="00C738C5" w:rsidRDefault="00C738C5" w:rsidP="00C738C5">
      <w:pPr>
        <w:numPr>
          <w:ilvl w:val="0"/>
          <w:numId w:val="28"/>
        </w:numPr>
        <w:spacing w:before="100" w:beforeAutospacing="1" w:after="100" w:afterAutospacing="1" w:line="300" w:lineRule="atLeast"/>
        <w:rPr>
          <w:rFonts w:ascii="Segoe UI" w:hAnsi="Segoe UI" w:cs="Segoe UI"/>
          <w:sz w:val="21"/>
          <w:szCs w:val="21"/>
        </w:rPr>
      </w:pPr>
      <w:r w:rsidRPr="00C738C5">
        <w:rPr>
          <w:rFonts w:ascii="Segoe UI" w:hAnsi="Segoe UI" w:cs="Segoe UI"/>
          <w:b/>
          <w:bCs/>
          <w:sz w:val="21"/>
          <w:szCs w:val="21"/>
        </w:rPr>
        <w:t>Resilience and Contagious Energy:</w:t>
      </w:r>
      <w:r w:rsidRPr="00C738C5">
        <w:rPr>
          <w:rFonts w:ascii="Segoe UI" w:hAnsi="Segoe UI" w:cs="Segoe UI"/>
          <w:sz w:val="21"/>
          <w:szCs w:val="21"/>
        </w:rPr>
        <w:t xml:space="preserve"> The combination of Employee A’s broad perspective and positive outlook contributed to a sense of </w:t>
      </w:r>
      <w:r w:rsidRPr="00C738C5">
        <w:rPr>
          <w:rFonts w:ascii="Segoe UI" w:hAnsi="Segoe UI" w:cs="Segoe UI"/>
          <w:i/>
          <w:iCs/>
          <w:sz w:val="21"/>
          <w:szCs w:val="21"/>
        </w:rPr>
        <w:t>resilience</w:t>
      </w:r>
      <w:r w:rsidRPr="00C738C5">
        <w:rPr>
          <w:rFonts w:ascii="Segoe UI" w:hAnsi="Segoe UI" w:cs="Segoe UI"/>
          <w:sz w:val="21"/>
          <w:szCs w:val="21"/>
        </w:rPr>
        <w:t xml:space="preserve"> in TPC’s culture. Because he could see the bigger picture, minor setbacks didn’t discourage him, and because he was optimistic, he bounced back quickly and encouraged others to do the same. When the </w:t>
      </w:r>
      <w:proofErr w:type="spellStart"/>
      <w:r w:rsidRPr="00C738C5">
        <w:rPr>
          <w:rFonts w:ascii="Segoe UI" w:hAnsi="Segoe UI" w:cs="Segoe UI"/>
          <w:sz w:val="21"/>
          <w:szCs w:val="21"/>
        </w:rPr>
        <w:t>TalentVerse</w:t>
      </w:r>
      <w:proofErr w:type="spellEnd"/>
      <w:r w:rsidRPr="00C738C5">
        <w:rPr>
          <w:rFonts w:ascii="Segoe UI" w:hAnsi="Segoe UI" w:cs="Segoe UI"/>
          <w:sz w:val="21"/>
          <w:szCs w:val="21"/>
        </w:rPr>
        <w:t xml:space="preserve"> AI model first failed, Employee A’s response was matter-of-fact and upbeat: fix it and try again next week. No blame, no despair – just a focus on the next step. This response set the tone for his team to tackle the issue with energy (and indeed they succeeded on retry). His enthusiasm for TPC’s mission also gave colleagues a reason to stay energized. He often spoke about TPC’s potential to be a </w:t>
      </w:r>
      <w:r w:rsidRPr="00C738C5">
        <w:rPr>
          <w:rFonts w:ascii="Segoe UI" w:hAnsi="Segoe UI" w:cs="Segoe UI"/>
          <w:i/>
          <w:iCs/>
          <w:sz w:val="21"/>
          <w:szCs w:val="21"/>
        </w:rPr>
        <w:t>“beacon of purposeful business”</w:t>
      </w:r>
      <w:r w:rsidRPr="00C738C5">
        <w:rPr>
          <w:rFonts w:ascii="Segoe UI" w:hAnsi="Segoe UI" w:cs="Segoe UI"/>
          <w:sz w:val="21"/>
          <w:szCs w:val="21"/>
        </w:rPr>
        <w:t xml:space="preserve"> or a leader in the well-being economy, instilling pride and forward-looking optimism. People who worked closely with Employee A mention that his passion and broad vision made them feel their work had meaning beyond just the immediate task, which boosted morale. Lastly, Employee A’s engagement with </w:t>
      </w:r>
      <w:r w:rsidRPr="00C738C5">
        <w:rPr>
          <w:rFonts w:ascii="Segoe UI" w:hAnsi="Segoe UI" w:cs="Segoe UI"/>
          <w:i/>
          <w:iCs/>
          <w:sz w:val="21"/>
          <w:szCs w:val="21"/>
        </w:rPr>
        <w:t>young talent and external bright minds</w:t>
      </w:r>
      <w:r w:rsidRPr="00C738C5">
        <w:rPr>
          <w:rFonts w:ascii="Segoe UI" w:hAnsi="Segoe UI" w:cs="Segoe UI"/>
          <w:sz w:val="21"/>
          <w:szCs w:val="21"/>
        </w:rPr>
        <w:t xml:space="preserve"> (like students in the Future of Education track at Impact Week</w:t>
      </w:r>
      <w:hyperlink r:id="rId243" w:history="1">
        <w:r w:rsidRPr="00C738C5">
          <w:rPr>
            <w:rFonts w:ascii="Segoe UI" w:hAnsi="Segoe UI" w:cs="Segoe UI"/>
            <w:color w:val="464FEB"/>
            <w:sz w:val="21"/>
            <w:szCs w:val="21"/>
          </w:rPr>
          <w:t>[7]</w:t>
        </w:r>
      </w:hyperlink>
      <w:r w:rsidRPr="00C738C5">
        <w:rPr>
          <w:rFonts w:ascii="Segoe UI" w:hAnsi="Segoe UI" w:cs="Segoe UI"/>
          <w:sz w:val="21"/>
          <w:szCs w:val="21"/>
        </w:rPr>
        <w:t>) showcased a hopeful investment in the future, which positively influenced TPC employees’ mindset. They saw their leader interacting with next-generation leaders and tackling big world questions, which was inspiring and showed confidence in a positive future.</w:t>
      </w:r>
    </w:p>
    <w:p w14:paraId="2CE51D13"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i/>
          <w:iCs/>
          <w:sz w:val="21"/>
          <w:szCs w:val="21"/>
        </w:rPr>
        <w:t>Impact on Transformation:</w:t>
      </w:r>
      <w:r w:rsidRPr="00C738C5">
        <w:rPr>
          <w:rFonts w:ascii="Segoe UI" w:hAnsi="Segoe UI" w:cs="Segoe UI"/>
          <w:sz w:val="21"/>
          <w:szCs w:val="21"/>
        </w:rPr>
        <w:t xml:space="preserve"> Employee A’s worldview mindset ensured that TPC’s 2025 transformation was </w:t>
      </w:r>
      <w:r w:rsidRPr="00C738C5">
        <w:rPr>
          <w:rFonts w:ascii="Segoe UI" w:hAnsi="Segoe UI" w:cs="Segoe UI"/>
          <w:b/>
          <w:bCs/>
          <w:sz w:val="21"/>
          <w:szCs w:val="21"/>
        </w:rPr>
        <w:t>outward-looking and future-embracing</w:t>
      </w:r>
      <w:r w:rsidRPr="00C738C5">
        <w:rPr>
          <w:rFonts w:ascii="Segoe UI" w:hAnsi="Segoe UI" w:cs="Segoe UI"/>
          <w:sz w:val="21"/>
          <w:szCs w:val="21"/>
        </w:rPr>
        <w:t>. By factoring in global trends and external expertise, the changes TPC made were aligned with the evolving landscape (e.g., integrating AI and sustainability, which are globally ascendant). This reduces the risk of the company having to redo or reverse decisions later due to oversight of external factors. Instead, TPC’s transformation positioned it as a thought leader in some areas – for instance, the WEGA partnership and Impact Week content put TPC on the map among “business as a force for good” circles, enhancing its brand. Meanwhile, Employee A’s positive attitude helped maintain momentum and employee engagement. Transformation can be exhausting and scary; Employee A’s optimism and recognition helped stave off change fatigue. Employees remained willing to adopt new tools and processes, because the atmosphere was hopeful rather than punitive or panicky. The framing of challenges as opportunities meant that teams approached problems with curiosity and creativity – exactly what’s needed for innovation. When a department struggled, Employee A emphasized learning and iterating (rather than fault), which kept people in a problem-solving mode. Furthermore, the inclusion of broader impact considerations under Employee A’s guidance built trust with external stakeholders (regulators, communities, partners) during the transformation, as TPC’s moves were seen as responsible and considerate. This trust is invaluable; it smoothed the way for implementations (less resistance, more support) and fortified TPC’s social license to operate as it evolved its business models. In essence, Employee A’s broad and positive mindset ensured TPC’s transformation was not insular or short-lived, but rather connected to shaping a flourishing future – for the company, its people, and its community.</w:t>
      </w:r>
    </w:p>
    <w:p w14:paraId="6C992B1B" w14:textId="77777777" w:rsidR="00C738C5" w:rsidRPr="00C738C5" w:rsidRDefault="00977BB2" w:rsidP="00C738C5">
      <w:pPr>
        <w:spacing w:line="300" w:lineRule="atLeast"/>
        <w:rPr>
          <w:rFonts w:ascii="Segoe UI" w:hAnsi="Segoe UI" w:cs="Segoe UI"/>
          <w:sz w:val="21"/>
          <w:szCs w:val="21"/>
        </w:rPr>
      </w:pPr>
      <w:r>
        <w:rPr>
          <w:rFonts w:ascii="Segoe UI" w:hAnsi="Segoe UI" w:cs="Segoe UI"/>
          <w:sz w:val="21"/>
          <w:szCs w:val="21"/>
        </w:rPr>
        <w:pict w14:anchorId="6AD8585B">
          <v:rect id="_x0000_i1033" style="width:0;height:1.5pt" o:hralign="center" o:hrstd="t" o:hr="t" fillcolor="#a0a0a0" stroked="f"/>
        </w:pict>
      </w:r>
    </w:p>
    <w:p w14:paraId="4B179668" w14:textId="77777777" w:rsidR="00C738C5" w:rsidRPr="00C738C5" w:rsidRDefault="00C738C5" w:rsidP="00C738C5">
      <w:pPr>
        <w:spacing w:before="100" w:beforeAutospacing="1" w:after="100" w:afterAutospacing="1" w:line="300" w:lineRule="atLeast"/>
        <w:outlineLvl w:val="1"/>
        <w:rPr>
          <w:rFonts w:ascii="Segoe UI" w:hAnsi="Segoe UI" w:cs="Segoe UI"/>
          <w:b/>
          <w:bCs/>
          <w:sz w:val="36"/>
          <w:szCs w:val="36"/>
        </w:rPr>
      </w:pPr>
      <w:r w:rsidRPr="00C738C5">
        <w:rPr>
          <w:rFonts w:ascii="Segoe UI" w:hAnsi="Segoe UI" w:cs="Segoe UI"/>
          <w:b/>
          <w:bCs/>
          <w:sz w:val="36"/>
          <w:szCs w:val="36"/>
        </w:rPr>
        <w:t xml:space="preserve">Summary of Attributes, </w:t>
      </w:r>
      <w:proofErr w:type="spellStart"/>
      <w:r w:rsidRPr="00C738C5">
        <w:rPr>
          <w:rFonts w:ascii="Segoe UI" w:hAnsi="Segoe UI" w:cs="Segoe UI"/>
          <w:b/>
          <w:bCs/>
          <w:sz w:val="36"/>
          <w:szCs w:val="36"/>
        </w:rPr>
        <w:t>Behaviors</w:t>
      </w:r>
      <w:proofErr w:type="spellEnd"/>
      <w:r w:rsidRPr="00C738C5">
        <w:rPr>
          <w:rFonts w:ascii="Segoe UI" w:hAnsi="Segoe UI" w:cs="Segoe UI"/>
          <w:b/>
          <w:bCs/>
          <w:sz w:val="36"/>
          <w:szCs w:val="36"/>
        </w:rPr>
        <w:t>, and Outcomes</w:t>
      </w:r>
    </w:p>
    <w:p w14:paraId="62F1E753"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The following table summarizes how Employee A demonstrated each Quantum Leadership attribute in 2025, and the outcomes of those </w:t>
      </w:r>
      <w:proofErr w:type="spellStart"/>
      <w:r w:rsidRPr="00C738C5">
        <w:rPr>
          <w:rFonts w:ascii="Segoe UI" w:hAnsi="Segoe UI" w:cs="Segoe UI"/>
          <w:sz w:val="21"/>
          <w:szCs w:val="21"/>
        </w:rPr>
        <w:t>behaviors</w:t>
      </w:r>
      <w:proofErr w:type="spellEnd"/>
      <w:r w:rsidRPr="00C738C5">
        <w:rPr>
          <w:rFonts w:ascii="Segoe UI" w:hAnsi="Segoe UI" w:cs="Segoe UI"/>
          <w:sz w:val="21"/>
          <w:szCs w:val="21"/>
        </w:rPr>
        <w:t xml:space="preserve"> on TPC’s transformation: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0"/>
        <w:gridCol w:w="3054"/>
        <w:gridCol w:w="4122"/>
      </w:tblGrid>
      <w:tr w:rsidR="00C738C5" w:rsidRPr="00C738C5" w14:paraId="7D0E7B61" w14:textId="77777777">
        <w:trPr>
          <w:tblHeader/>
          <w:tblCellSpacing w:w="15" w:type="dxa"/>
        </w:trPr>
        <w:tc>
          <w:tcPr>
            <w:tcW w:w="0" w:type="auto"/>
            <w:vAlign w:val="center"/>
            <w:hideMark/>
          </w:tcPr>
          <w:p w14:paraId="7544494B" w14:textId="77777777" w:rsidR="00C738C5" w:rsidRPr="00C738C5" w:rsidRDefault="00C738C5" w:rsidP="00C738C5">
            <w:pPr>
              <w:jc w:val="center"/>
              <w:rPr>
                <w:b/>
                <w:bCs/>
                <w:sz w:val="24"/>
                <w:szCs w:val="24"/>
              </w:rPr>
            </w:pPr>
            <w:r w:rsidRPr="00C738C5">
              <w:rPr>
                <w:b/>
                <w:bCs/>
                <w:sz w:val="24"/>
                <w:szCs w:val="24"/>
              </w:rPr>
              <w:t>Quantum Leadership Attribute</w:t>
            </w:r>
          </w:p>
        </w:tc>
        <w:tc>
          <w:tcPr>
            <w:tcW w:w="0" w:type="auto"/>
            <w:vAlign w:val="center"/>
            <w:hideMark/>
          </w:tcPr>
          <w:p w14:paraId="57BCC2E6" w14:textId="77777777" w:rsidR="00C738C5" w:rsidRPr="00C738C5" w:rsidRDefault="00C738C5" w:rsidP="00C738C5">
            <w:pPr>
              <w:jc w:val="center"/>
              <w:rPr>
                <w:b/>
                <w:bCs/>
                <w:sz w:val="24"/>
                <w:szCs w:val="24"/>
              </w:rPr>
            </w:pPr>
            <w:r w:rsidRPr="00C738C5">
              <w:rPr>
                <w:b/>
                <w:bCs/>
                <w:sz w:val="24"/>
                <w:szCs w:val="24"/>
              </w:rPr>
              <w:t xml:space="preserve">Employee A’s 2025 </w:t>
            </w:r>
            <w:proofErr w:type="spellStart"/>
            <w:r w:rsidRPr="00C738C5">
              <w:rPr>
                <w:b/>
                <w:bCs/>
                <w:sz w:val="24"/>
                <w:szCs w:val="24"/>
              </w:rPr>
              <w:t>Behaviors</w:t>
            </w:r>
            <w:proofErr w:type="spellEnd"/>
          </w:p>
        </w:tc>
        <w:tc>
          <w:tcPr>
            <w:tcW w:w="0" w:type="auto"/>
            <w:vAlign w:val="center"/>
            <w:hideMark/>
          </w:tcPr>
          <w:p w14:paraId="7F8DC6BF" w14:textId="77777777" w:rsidR="00C738C5" w:rsidRPr="00C738C5" w:rsidRDefault="00C738C5" w:rsidP="00C738C5">
            <w:pPr>
              <w:jc w:val="center"/>
              <w:rPr>
                <w:b/>
                <w:bCs/>
                <w:sz w:val="24"/>
                <w:szCs w:val="24"/>
              </w:rPr>
            </w:pPr>
            <w:r w:rsidRPr="00C738C5">
              <w:rPr>
                <w:b/>
                <w:bCs/>
                <w:sz w:val="24"/>
                <w:szCs w:val="24"/>
              </w:rPr>
              <w:t>Impact on TPC’s Transformation</w:t>
            </w:r>
          </w:p>
        </w:tc>
      </w:tr>
      <w:tr w:rsidR="00C738C5" w:rsidRPr="00C738C5" w14:paraId="5E27A333" w14:textId="77777777">
        <w:trPr>
          <w:tblCellSpacing w:w="15" w:type="dxa"/>
        </w:trPr>
        <w:tc>
          <w:tcPr>
            <w:tcW w:w="0" w:type="auto"/>
            <w:vAlign w:val="center"/>
            <w:hideMark/>
          </w:tcPr>
          <w:p w14:paraId="2FA02AF4" w14:textId="77777777" w:rsidR="00C738C5" w:rsidRPr="00C738C5" w:rsidRDefault="00C738C5" w:rsidP="00C738C5">
            <w:pPr>
              <w:rPr>
                <w:sz w:val="24"/>
                <w:szCs w:val="24"/>
              </w:rPr>
            </w:pPr>
            <w:r w:rsidRPr="00C738C5">
              <w:rPr>
                <w:b/>
                <w:bCs/>
                <w:sz w:val="24"/>
                <w:szCs w:val="24"/>
              </w:rPr>
              <w:t>Analytical Mindset</w:t>
            </w:r>
            <w:r w:rsidRPr="00C738C5">
              <w:rPr>
                <w:sz w:val="24"/>
                <w:szCs w:val="24"/>
              </w:rPr>
              <w:t xml:space="preserve"> </w:t>
            </w:r>
            <w:r w:rsidRPr="00C738C5">
              <w:rPr>
                <w:sz w:val="24"/>
                <w:szCs w:val="24"/>
              </w:rPr>
              <w:br/>
            </w:r>
            <w:r w:rsidRPr="00C738C5">
              <w:rPr>
                <w:i/>
                <w:iCs/>
                <w:sz w:val="24"/>
                <w:szCs w:val="24"/>
              </w:rPr>
              <w:t>Seeks alternative perspectives &amp; turns ideas into results</w:t>
            </w:r>
            <w:r w:rsidRPr="00C738C5">
              <w:rPr>
                <w:sz w:val="24"/>
                <w:szCs w:val="24"/>
              </w:rPr>
              <w:t xml:space="preserve"> (Mintzberg: </w:t>
            </w:r>
            <w:r w:rsidRPr="00C738C5">
              <w:rPr>
                <w:i/>
                <w:iCs/>
                <w:sz w:val="24"/>
                <w:szCs w:val="24"/>
              </w:rPr>
              <w:t>Analytic</w:t>
            </w:r>
            <w:r w:rsidRPr="00C738C5">
              <w:rPr>
                <w:sz w:val="24"/>
                <w:szCs w:val="24"/>
              </w:rPr>
              <w:t>)</w:t>
            </w:r>
          </w:p>
        </w:tc>
        <w:tc>
          <w:tcPr>
            <w:tcW w:w="0" w:type="auto"/>
            <w:vAlign w:val="center"/>
            <w:hideMark/>
          </w:tcPr>
          <w:p w14:paraId="2E9CB014" w14:textId="77777777" w:rsidR="00C738C5" w:rsidRPr="00C738C5" w:rsidRDefault="00C738C5" w:rsidP="00C738C5">
            <w:pPr>
              <w:rPr>
                <w:sz w:val="24"/>
                <w:szCs w:val="24"/>
              </w:rPr>
            </w:pPr>
            <w:r w:rsidRPr="00C738C5">
              <w:rPr>
                <w:sz w:val="24"/>
                <w:szCs w:val="24"/>
              </w:rPr>
              <w:t>– Researched external models (e.g. learned from Alibaba’s data strategy) and applied lessons to TPC’s AI plan.</w:t>
            </w:r>
            <w:r w:rsidRPr="00C738C5">
              <w:rPr>
                <w:sz w:val="24"/>
                <w:szCs w:val="24"/>
              </w:rPr>
              <w:br/>
              <w:t>– Invited diverse inputs (8 execs sharing industry insights) to inform decisions.</w:t>
            </w:r>
            <w:r w:rsidRPr="00C738C5">
              <w:rPr>
                <w:sz w:val="24"/>
                <w:szCs w:val="24"/>
              </w:rPr>
              <w:br/>
              <w:t>– Critically evaluated outside proposals (Alignment Advantage program) for fit, leading to new collaborations.</w:t>
            </w:r>
            <w:r w:rsidRPr="00C738C5">
              <w:rPr>
                <w:sz w:val="24"/>
                <w:szCs w:val="24"/>
              </w:rPr>
              <w:br/>
              <w:t>– Broke down initiatives into structured plans (data levels for AI, OKR tagging for analysis) to ensure ideas were implemented measurably.</w:t>
            </w:r>
          </w:p>
        </w:tc>
        <w:tc>
          <w:tcPr>
            <w:tcW w:w="0" w:type="auto"/>
            <w:vAlign w:val="center"/>
            <w:hideMark/>
          </w:tcPr>
          <w:p w14:paraId="4C1BB626" w14:textId="77777777" w:rsidR="00C738C5" w:rsidRPr="00C738C5" w:rsidRDefault="00C738C5" w:rsidP="00C738C5">
            <w:pPr>
              <w:rPr>
                <w:sz w:val="24"/>
                <w:szCs w:val="24"/>
              </w:rPr>
            </w:pPr>
            <w:r w:rsidRPr="00C738C5">
              <w:rPr>
                <w:b/>
                <w:bCs/>
                <w:sz w:val="24"/>
                <w:szCs w:val="24"/>
              </w:rPr>
              <w:t>Better Solutions &amp; Innovation:</w:t>
            </w:r>
            <w:r w:rsidRPr="00C738C5">
              <w:rPr>
                <w:sz w:val="24"/>
                <w:szCs w:val="24"/>
              </w:rPr>
              <w:t xml:space="preserve"> External best practices and cross-pollination of ideas led to more effective strategies (e.g. robust central data system enabling AI).</w:t>
            </w:r>
            <w:r w:rsidRPr="00C738C5">
              <w:rPr>
                <w:sz w:val="24"/>
                <w:szCs w:val="24"/>
              </w:rPr>
              <w:br/>
            </w:r>
            <w:r w:rsidRPr="00C738C5">
              <w:rPr>
                <w:b/>
                <w:bCs/>
                <w:sz w:val="24"/>
                <w:szCs w:val="24"/>
              </w:rPr>
              <w:t>Rapid Implementation:</w:t>
            </w:r>
            <w:r w:rsidRPr="00C738C5">
              <w:rPr>
                <w:sz w:val="24"/>
                <w:szCs w:val="24"/>
              </w:rPr>
              <w:t xml:space="preserve"> Clear execution plans (for OKRs, AI, etc.) turned concepts into reality quickly, keeping transformation on schedule.</w:t>
            </w:r>
            <w:r w:rsidRPr="00C738C5">
              <w:rPr>
                <w:sz w:val="24"/>
                <w:szCs w:val="24"/>
              </w:rPr>
              <w:br/>
            </w:r>
            <w:r w:rsidRPr="00C738C5">
              <w:rPr>
                <w:b/>
                <w:bCs/>
                <w:sz w:val="24"/>
                <w:szCs w:val="24"/>
              </w:rPr>
              <w:t>Data-Driven Change:</w:t>
            </w:r>
            <w:r w:rsidRPr="00C738C5">
              <w:rPr>
                <w:sz w:val="24"/>
                <w:szCs w:val="24"/>
              </w:rPr>
              <w:t xml:space="preserve"> Emphasis on measurement and tagging created feedback loops, so TPC could learn and adjust during transformation (increasing chance of success for initiatives).</w:t>
            </w:r>
          </w:p>
        </w:tc>
      </w:tr>
      <w:tr w:rsidR="00C738C5" w:rsidRPr="00C738C5" w14:paraId="390ED7AC" w14:textId="77777777">
        <w:trPr>
          <w:tblCellSpacing w:w="15" w:type="dxa"/>
        </w:trPr>
        <w:tc>
          <w:tcPr>
            <w:tcW w:w="0" w:type="auto"/>
            <w:vAlign w:val="center"/>
            <w:hideMark/>
          </w:tcPr>
          <w:p w14:paraId="31ACBBBD" w14:textId="77777777" w:rsidR="00C738C5" w:rsidRPr="00C738C5" w:rsidRDefault="00C738C5" w:rsidP="00C738C5">
            <w:pPr>
              <w:rPr>
                <w:sz w:val="24"/>
                <w:szCs w:val="24"/>
              </w:rPr>
            </w:pPr>
            <w:r w:rsidRPr="00C738C5">
              <w:rPr>
                <w:b/>
                <w:bCs/>
                <w:sz w:val="24"/>
                <w:szCs w:val="24"/>
              </w:rPr>
              <w:t>Action Mindset</w:t>
            </w:r>
            <w:r w:rsidRPr="00C738C5">
              <w:rPr>
                <w:sz w:val="24"/>
                <w:szCs w:val="24"/>
              </w:rPr>
              <w:t xml:space="preserve"> </w:t>
            </w:r>
            <w:r w:rsidRPr="00C738C5">
              <w:rPr>
                <w:sz w:val="24"/>
                <w:szCs w:val="24"/>
              </w:rPr>
              <w:br/>
            </w:r>
            <w:r w:rsidRPr="00C738C5">
              <w:rPr>
                <w:i/>
                <w:iCs/>
                <w:sz w:val="24"/>
                <w:szCs w:val="24"/>
              </w:rPr>
              <w:t>Adapts to ambiguity &amp; pursues opportunities with perseverance</w:t>
            </w:r>
            <w:r w:rsidRPr="00C738C5">
              <w:rPr>
                <w:sz w:val="24"/>
                <w:szCs w:val="24"/>
              </w:rPr>
              <w:t xml:space="preserve"> (Mintzberg: </w:t>
            </w:r>
            <w:r w:rsidRPr="00C738C5">
              <w:rPr>
                <w:i/>
                <w:iCs/>
                <w:sz w:val="24"/>
                <w:szCs w:val="24"/>
              </w:rPr>
              <w:t>Action</w:t>
            </w:r>
            <w:r w:rsidRPr="00C738C5">
              <w:rPr>
                <w:sz w:val="24"/>
                <w:szCs w:val="24"/>
              </w:rPr>
              <w:t>)</w:t>
            </w:r>
          </w:p>
        </w:tc>
        <w:tc>
          <w:tcPr>
            <w:tcW w:w="0" w:type="auto"/>
            <w:vAlign w:val="center"/>
            <w:hideMark/>
          </w:tcPr>
          <w:p w14:paraId="4AAAFDD4" w14:textId="77777777" w:rsidR="00C738C5" w:rsidRPr="00C738C5" w:rsidRDefault="00C738C5" w:rsidP="00C738C5">
            <w:pPr>
              <w:rPr>
                <w:sz w:val="24"/>
                <w:szCs w:val="24"/>
              </w:rPr>
            </w:pPr>
            <w:r w:rsidRPr="00C738C5">
              <w:rPr>
                <w:sz w:val="24"/>
                <w:szCs w:val="24"/>
              </w:rPr>
              <w:t>– Adjusted plans swiftly when conditions changed (rescheduled workshop agenda on the fly).</w:t>
            </w:r>
            <w:r w:rsidRPr="00C738C5">
              <w:rPr>
                <w:sz w:val="24"/>
                <w:szCs w:val="24"/>
              </w:rPr>
              <w:br/>
              <w:t>– Capitalized on opportunities (reworked “Mindful Male Leadership” into a co-ed Blended workshop, leveraging a visiting expert)</w:t>
            </w:r>
            <w:hyperlink r:id="rId244" w:history="1">
              <w:r w:rsidRPr="00C738C5">
                <w:rPr>
                  <w:color w:val="464FEB"/>
                  <w:sz w:val="24"/>
                  <w:szCs w:val="24"/>
                </w:rPr>
                <w:t>[1]</w:t>
              </w:r>
            </w:hyperlink>
            <w:hyperlink r:id="rId245" w:history="1">
              <w:r w:rsidRPr="00C738C5">
                <w:rPr>
                  <w:color w:val="464FEB"/>
                  <w:sz w:val="24"/>
                  <w:szCs w:val="24"/>
                </w:rPr>
                <w:t>[1]</w:t>
              </w:r>
            </w:hyperlink>
            <w:r w:rsidRPr="00C738C5">
              <w:rPr>
                <w:sz w:val="24"/>
                <w:szCs w:val="24"/>
              </w:rPr>
              <w:t>.</w:t>
            </w:r>
            <w:r w:rsidRPr="00C738C5">
              <w:rPr>
                <w:sz w:val="24"/>
                <w:szCs w:val="24"/>
              </w:rPr>
              <w:br/>
              <w:t>– Pushed through setbacks (</w:t>
            </w:r>
            <w:proofErr w:type="spellStart"/>
            <w:r w:rsidRPr="00C738C5">
              <w:rPr>
                <w:sz w:val="24"/>
                <w:szCs w:val="24"/>
              </w:rPr>
              <w:t>TalentVerse</w:t>
            </w:r>
            <w:proofErr w:type="spellEnd"/>
            <w:r w:rsidRPr="00C738C5">
              <w:rPr>
                <w:sz w:val="24"/>
                <w:szCs w:val="24"/>
              </w:rPr>
              <w:t xml:space="preserve"> model error -&gt; immediate re-run next week) without losing momentum.</w:t>
            </w:r>
            <w:r w:rsidRPr="00C738C5">
              <w:rPr>
                <w:sz w:val="24"/>
                <w:szCs w:val="24"/>
              </w:rPr>
              <w:br/>
              <w:t xml:space="preserve">– Followed up relentlessly on deliverables (ensured 360 and </w:t>
            </w:r>
            <w:proofErr w:type="spellStart"/>
            <w:r w:rsidRPr="00C738C5">
              <w:rPr>
                <w:sz w:val="24"/>
                <w:szCs w:val="24"/>
              </w:rPr>
              <w:t>ePCG</w:t>
            </w:r>
            <w:proofErr w:type="spellEnd"/>
            <w:r w:rsidRPr="00C738C5">
              <w:rPr>
                <w:sz w:val="24"/>
                <w:szCs w:val="24"/>
              </w:rPr>
              <w:t xml:space="preserve"> completion by deadlines).</w:t>
            </w:r>
            <w:r w:rsidRPr="00C738C5">
              <w:rPr>
                <w:sz w:val="24"/>
                <w:szCs w:val="24"/>
              </w:rPr>
              <w:br/>
              <w:t>– Took decisive initiative (launched 24 workflow automations in H1) rather than waiting, demonstrating a “do now” approach.</w:t>
            </w:r>
          </w:p>
        </w:tc>
        <w:tc>
          <w:tcPr>
            <w:tcW w:w="0" w:type="auto"/>
            <w:vAlign w:val="center"/>
            <w:hideMark/>
          </w:tcPr>
          <w:p w14:paraId="1CD88263" w14:textId="77777777" w:rsidR="00C738C5" w:rsidRPr="00C738C5" w:rsidRDefault="00C738C5" w:rsidP="00C738C5">
            <w:pPr>
              <w:rPr>
                <w:sz w:val="24"/>
                <w:szCs w:val="24"/>
              </w:rPr>
            </w:pPr>
            <w:r w:rsidRPr="00C738C5">
              <w:rPr>
                <w:b/>
                <w:bCs/>
                <w:sz w:val="24"/>
                <w:szCs w:val="24"/>
              </w:rPr>
              <w:t>Maintained Momentum:</w:t>
            </w:r>
            <w:r w:rsidRPr="00C738C5">
              <w:rPr>
                <w:sz w:val="24"/>
                <w:szCs w:val="24"/>
              </w:rPr>
              <w:t xml:space="preserve"> Adaptive re-planning prevented delays from derailing the transformation – all major 2025 initiatives stayed on track because Employee A navigated around obstacles.</w:t>
            </w:r>
            <w:r w:rsidRPr="00C738C5">
              <w:rPr>
                <w:sz w:val="24"/>
                <w:szCs w:val="24"/>
              </w:rPr>
              <w:br/>
            </w:r>
            <w:r w:rsidRPr="00C738C5">
              <w:rPr>
                <w:b/>
                <w:bCs/>
                <w:sz w:val="24"/>
                <w:szCs w:val="24"/>
              </w:rPr>
              <w:t>More Accomplishments:</w:t>
            </w:r>
            <w:r w:rsidRPr="00C738C5">
              <w:rPr>
                <w:sz w:val="24"/>
                <w:szCs w:val="24"/>
              </w:rPr>
              <w:t xml:space="preserve"> Seizing opportunities (extra training, new pilots) meant TPC achieved additional outcomes that weren’t even in the original roadmap (e.g. an extra leadership workshop, early AI coach pilot) – giving TPC a head-start in several areas.</w:t>
            </w:r>
            <w:r w:rsidRPr="00C738C5">
              <w:rPr>
                <w:sz w:val="24"/>
                <w:szCs w:val="24"/>
              </w:rPr>
              <w:br/>
            </w:r>
            <w:r w:rsidRPr="00C738C5">
              <w:rPr>
                <w:b/>
                <w:bCs/>
                <w:sz w:val="24"/>
                <w:szCs w:val="24"/>
              </w:rPr>
              <w:t>Culture of Execution:</w:t>
            </w:r>
            <w:r w:rsidRPr="00C738C5">
              <w:rPr>
                <w:sz w:val="24"/>
                <w:szCs w:val="24"/>
              </w:rPr>
              <w:t xml:space="preserve"> Employee A’s bias for action </w:t>
            </w:r>
            <w:proofErr w:type="spellStart"/>
            <w:r w:rsidRPr="00C738C5">
              <w:rPr>
                <w:sz w:val="24"/>
                <w:szCs w:val="24"/>
              </w:rPr>
              <w:t>modeled</w:t>
            </w:r>
            <w:proofErr w:type="spellEnd"/>
            <w:r w:rsidRPr="00C738C5">
              <w:rPr>
                <w:sz w:val="24"/>
                <w:szCs w:val="24"/>
              </w:rPr>
              <w:t xml:space="preserve"> getting things done. Departments became more execution-focused and less risk-averse, accelerating the overall pace of change.</w:t>
            </w:r>
            <w:r w:rsidRPr="00C738C5">
              <w:rPr>
                <w:sz w:val="24"/>
                <w:szCs w:val="24"/>
              </w:rPr>
              <w:br/>
            </w:r>
            <w:r w:rsidRPr="00C738C5">
              <w:rPr>
                <w:b/>
                <w:bCs/>
                <w:sz w:val="24"/>
                <w:szCs w:val="24"/>
              </w:rPr>
              <w:t>Resilience:</w:t>
            </w:r>
            <w:r w:rsidRPr="00C738C5">
              <w:rPr>
                <w:sz w:val="24"/>
                <w:szCs w:val="24"/>
              </w:rPr>
              <w:t xml:space="preserve"> Persistence through difficulties embedded a “never give up” ethos; teams learned to troubleshoot and try again (rather than blame or abandon projects), increasing the success rate of transformation projects.</w:t>
            </w:r>
          </w:p>
        </w:tc>
      </w:tr>
      <w:tr w:rsidR="00C738C5" w:rsidRPr="00C738C5" w14:paraId="62477A94" w14:textId="77777777">
        <w:trPr>
          <w:tblCellSpacing w:w="15" w:type="dxa"/>
        </w:trPr>
        <w:tc>
          <w:tcPr>
            <w:tcW w:w="0" w:type="auto"/>
            <w:vAlign w:val="center"/>
            <w:hideMark/>
          </w:tcPr>
          <w:p w14:paraId="0974B4CF" w14:textId="77777777" w:rsidR="00C738C5" w:rsidRPr="00C738C5" w:rsidRDefault="00C738C5" w:rsidP="00C738C5">
            <w:pPr>
              <w:rPr>
                <w:sz w:val="24"/>
                <w:szCs w:val="24"/>
              </w:rPr>
            </w:pPr>
            <w:r w:rsidRPr="00C738C5">
              <w:rPr>
                <w:b/>
                <w:bCs/>
                <w:sz w:val="24"/>
                <w:szCs w:val="24"/>
              </w:rPr>
              <w:t>Personal Growth &amp; Purpose</w:t>
            </w:r>
            <w:r w:rsidRPr="00C738C5">
              <w:rPr>
                <w:sz w:val="24"/>
                <w:szCs w:val="24"/>
              </w:rPr>
              <w:t xml:space="preserve"> </w:t>
            </w:r>
            <w:r w:rsidRPr="00C738C5">
              <w:rPr>
                <w:sz w:val="24"/>
                <w:szCs w:val="24"/>
              </w:rPr>
              <w:br/>
            </w:r>
            <w:r w:rsidRPr="00C738C5">
              <w:rPr>
                <w:i/>
                <w:iCs/>
                <w:sz w:val="24"/>
                <w:szCs w:val="24"/>
              </w:rPr>
              <w:t>Cultivates personal growth &amp; clarity of purpose</w:t>
            </w:r>
            <w:r w:rsidRPr="00C738C5">
              <w:rPr>
                <w:sz w:val="24"/>
                <w:szCs w:val="24"/>
              </w:rPr>
              <w:t xml:space="preserve"> (Mintzberg: </w:t>
            </w:r>
            <w:r w:rsidRPr="00C738C5">
              <w:rPr>
                <w:i/>
                <w:iCs/>
                <w:sz w:val="24"/>
                <w:szCs w:val="24"/>
              </w:rPr>
              <w:t>Reflective</w:t>
            </w:r>
            <w:r w:rsidRPr="00C738C5">
              <w:rPr>
                <w:sz w:val="24"/>
                <w:szCs w:val="24"/>
              </w:rPr>
              <w:t>)</w:t>
            </w:r>
          </w:p>
        </w:tc>
        <w:tc>
          <w:tcPr>
            <w:tcW w:w="0" w:type="auto"/>
            <w:vAlign w:val="center"/>
            <w:hideMark/>
          </w:tcPr>
          <w:p w14:paraId="5D491C13" w14:textId="77777777" w:rsidR="00C738C5" w:rsidRPr="00C738C5" w:rsidRDefault="00C738C5" w:rsidP="00C738C5">
            <w:pPr>
              <w:rPr>
                <w:sz w:val="24"/>
                <w:szCs w:val="24"/>
              </w:rPr>
            </w:pPr>
            <w:r w:rsidRPr="00C738C5">
              <w:rPr>
                <w:sz w:val="24"/>
                <w:szCs w:val="24"/>
              </w:rPr>
              <w:t>– Actively sought feedback on himself (completed self-evaluation diligently</w:t>
            </w:r>
            <w:hyperlink r:id="rId246" w:history="1">
              <w:r w:rsidRPr="00C738C5">
                <w:rPr>
                  <w:color w:val="464FEB"/>
                  <w:sz w:val="24"/>
                  <w:szCs w:val="24"/>
                </w:rPr>
                <w:t>[3]</w:t>
              </w:r>
            </w:hyperlink>
            <w:r w:rsidRPr="00C738C5">
              <w:rPr>
                <w:sz w:val="24"/>
                <w:szCs w:val="24"/>
              </w:rPr>
              <w:t>; underwent 360° feedback as reviewee).</w:t>
            </w:r>
            <w:r w:rsidRPr="00C738C5">
              <w:rPr>
                <w:sz w:val="24"/>
                <w:szCs w:val="24"/>
              </w:rPr>
              <w:br/>
              <w:t>– Expanded own learning (co-developed a Masters module on Impact Leadership, engaging with latest thought leadership).</w:t>
            </w:r>
            <w:r w:rsidRPr="00C738C5">
              <w:rPr>
                <w:sz w:val="24"/>
                <w:szCs w:val="24"/>
              </w:rPr>
              <w:br/>
              <w:t>– Frequently articulated TPC’s purpose/values in context (linked programs to “Adding Value to Life” and well-being mandate).</w:t>
            </w:r>
            <w:r w:rsidRPr="00C738C5">
              <w:rPr>
                <w:sz w:val="24"/>
                <w:szCs w:val="24"/>
              </w:rPr>
              <w:br/>
              <w:t>– Chose initiatives aligned with higher purpose (led well-being research, social impact visits).</w:t>
            </w:r>
            <w:r w:rsidRPr="00C738C5">
              <w:rPr>
                <w:sz w:val="24"/>
                <w:szCs w:val="24"/>
              </w:rPr>
              <w:br/>
              <w:t xml:space="preserve">– Demonstrated authenticity and humility (acknowledged personal areas to improve, practiced mindfulness, etc., </w:t>
            </w:r>
            <w:proofErr w:type="spellStart"/>
            <w:r w:rsidRPr="00C738C5">
              <w:rPr>
                <w:sz w:val="24"/>
                <w:szCs w:val="24"/>
              </w:rPr>
              <w:t>signaling</w:t>
            </w:r>
            <w:proofErr w:type="spellEnd"/>
            <w:r w:rsidRPr="00C738C5">
              <w:rPr>
                <w:sz w:val="24"/>
                <w:szCs w:val="24"/>
              </w:rPr>
              <w:t xml:space="preserve"> he’s on a growth journey too).</w:t>
            </w:r>
          </w:p>
        </w:tc>
        <w:tc>
          <w:tcPr>
            <w:tcW w:w="0" w:type="auto"/>
            <w:vAlign w:val="center"/>
            <w:hideMark/>
          </w:tcPr>
          <w:p w14:paraId="58C6EB8E" w14:textId="77777777" w:rsidR="00C738C5" w:rsidRPr="00C738C5" w:rsidRDefault="00C738C5" w:rsidP="00C738C5">
            <w:pPr>
              <w:rPr>
                <w:sz w:val="24"/>
                <w:szCs w:val="24"/>
              </w:rPr>
            </w:pPr>
            <w:r w:rsidRPr="00C738C5">
              <w:rPr>
                <w:b/>
                <w:bCs/>
                <w:sz w:val="24"/>
                <w:szCs w:val="24"/>
              </w:rPr>
              <w:t>Leader Credibility:</w:t>
            </w:r>
            <w:r w:rsidRPr="00C738C5">
              <w:rPr>
                <w:sz w:val="24"/>
                <w:szCs w:val="24"/>
              </w:rPr>
              <w:t xml:space="preserve"> By growing himself and living the values, Employee A gained trust and moral authority. Employees saw consistency and walked-the-talk </w:t>
            </w:r>
            <w:proofErr w:type="spellStart"/>
            <w:r w:rsidRPr="00C738C5">
              <w:rPr>
                <w:sz w:val="24"/>
                <w:szCs w:val="24"/>
              </w:rPr>
              <w:t>behavior</w:t>
            </w:r>
            <w:proofErr w:type="spellEnd"/>
            <w:r w:rsidRPr="00C738C5">
              <w:rPr>
                <w:sz w:val="24"/>
                <w:szCs w:val="24"/>
              </w:rPr>
              <w:t>, making them more willing to follow transformation directives that he championed.</w:t>
            </w:r>
            <w:r w:rsidRPr="00C738C5">
              <w:rPr>
                <w:sz w:val="24"/>
                <w:szCs w:val="24"/>
              </w:rPr>
              <w:br/>
            </w:r>
            <w:r w:rsidRPr="00C738C5">
              <w:rPr>
                <w:b/>
                <w:bCs/>
                <w:sz w:val="24"/>
                <w:szCs w:val="24"/>
              </w:rPr>
              <w:t>Purpose-Driven Initiatives:</w:t>
            </w:r>
            <w:r w:rsidRPr="00C738C5">
              <w:rPr>
                <w:sz w:val="24"/>
                <w:szCs w:val="24"/>
              </w:rPr>
              <w:t xml:space="preserve"> Under his guidance, transformation projects had clear link to TPC’s mission (e.g. AI in service of employee growth, not surveillance; new business metrics focused on well-being) – preserving the company’s soul during change and even strengthening its purpose-driven brand externally.</w:t>
            </w:r>
            <w:r w:rsidRPr="00C738C5">
              <w:rPr>
                <w:sz w:val="24"/>
                <w:szCs w:val="24"/>
              </w:rPr>
              <w:br/>
            </w:r>
            <w:r w:rsidRPr="00C738C5">
              <w:rPr>
                <w:b/>
                <w:bCs/>
                <w:sz w:val="24"/>
                <w:szCs w:val="24"/>
              </w:rPr>
              <w:t>Learning Culture:</w:t>
            </w:r>
            <w:r w:rsidRPr="00C738C5">
              <w:rPr>
                <w:sz w:val="24"/>
                <w:szCs w:val="24"/>
              </w:rPr>
              <w:t xml:space="preserve"> His openness to feedback and development permeated the culture – participation in training, coaching, and feedback programs increased across TPC, building capabilities needed for transformation.</w:t>
            </w:r>
            <w:r w:rsidRPr="00C738C5">
              <w:rPr>
                <w:sz w:val="24"/>
                <w:szCs w:val="24"/>
              </w:rPr>
              <w:br/>
            </w:r>
            <w:r w:rsidRPr="00C738C5">
              <w:rPr>
                <w:b/>
                <w:bCs/>
                <w:sz w:val="24"/>
                <w:szCs w:val="24"/>
              </w:rPr>
              <w:t>Sustainable Change:</w:t>
            </w:r>
            <w:r w:rsidRPr="00C738C5">
              <w:rPr>
                <w:sz w:val="24"/>
                <w:szCs w:val="24"/>
              </w:rPr>
              <w:t xml:space="preserve"> Rooting decisions in purpose ensured changes were not just superficially chasing efficiency, but also enhancing meaning and </w:t>
            </w:r>
            <w:proofErr w:type="spellStart"/>
            <w:r w:rsidRPr="00C738C5">
              <w:rPr>
                <w:sz w:val="24"/>
                <w:szCs w:val="24"/>
              </w:rPr>
              <w:t>fulfillment</w:t>
            </w:r>
            <w:proofErr w:type="spellEnd"/>
            <w:r w:rsidRPr="00C738C5">
              <w:rPr>
                <w:sz w:val="24"/>
                <w:szCs w:val="24"/>
              </w:rPr>
              <w:t xml:space="preserve"> for employees. This led to higher engagement and less resistance, anchoring the transformation in something people believed in.</w:t>
            </w:r>
          </w:p>
        </w:tc>
      </w:tr>
      <w:tr w:rsidR="00C738C5" w:rsidRPr="00C738C5" w14:paraId="188143C7" w14:textId="77777777">
        <w:trPr>
          <w:tblCellSpacing w:w="15" w:type="dxa"/>
        </w:trPr>
        <w:tc>
          <w:tcPr>
            <w:tcW w:w="0" w:type="auto"/>
            <w:vAlign w:val="center"/>
            <w:hideMark/>
          </w:tcPr>
          <w:p w14:paraId="6B36715B" w14:textId="77777777" w:rsidR="00C738C5" w:rsidRPr="00C738C5" w:rsidRDefault="00C738C5" w:rsidP="00C738C5">
            <w:pPr>
              <w:rPr>
                <w:sz w:val="24"/>
                <w:szCs w:val="24"/>
              </w:rPr>
            </w:pPr>
            <w:r w:rsidRPr="00C738C5">
              <w:rPr>
                <w:b/>
                <w:bCs/>
                <w:sz w:val="24"/>
                <w:szCs w:val="24"/>
              </w:rPr>
              <w:t>Worldview Mindset</w:t>
            </w:r>
            <w:r w:rsidRPr="00C738C5">
              <w:rPr>
                <w:sz w:val="24"/>
                <w:szCs w:val="24"/>
              </w:rPr>
              <w:t xml:space="preserve"> </w:t>
            </w:r>
            <w:r w:rsidRPr="00C738C5">
              <w:rPr>
                <w:sz w:val="24"/>
                <w:szCs w:val="24"/>
              </w:rPr>
              <w:br/>
            </w:r>
            <w:r w:rsidRPr="00C738C5">
              <w:rPr>
                <w:i/>
                <w:iCs/>
                <w:sz w:val="24"/>
                <w:szCs w:val="24"/>
              </w:rPr>
              <w:t>Considers broader impact &amp; adopts a positive attitude</w:t>
            </w:r>
            <w:r w:rsidRPr="00C738C5">
              <w:rPr>
                <w:sz w:val="24"/>
                <w:szCs w:val="24"/>
              </w:rPr>
              <w:t xml:space="preserve"> (Mintzberg: </w:t>
            </w:r>
            <w:r w:rsidRPr="00C738C5">
              <w:rPr>
                <w:i/>
                <w:iCs/>
                <w:sz w:val="24"/>
                <w:szCs w:val="24"/>
              </w:rPr>
              <w:t>Worldly</w:t>
            </w:r>
            <w:r w:rsidRPr="00C738C5">
              <w:rPr>
                <w:sz w:val="24"/>
                <w:szCs w:val="24"/>
              </w:rPr>
              <w:t>)</w:t>
            </w:r>
          </w:p>
        </w:tc>
        <w:tc>
          <w:tcPr>
            <w:tcW w:w="0" w:type="auto"/>
            <w:vAlign w:val="center"/>
            <w:hideMark/>
          </w:tcPr>
          <w:p w14:paraId="22A797FC" w14:textId="77777777" w:rsidR="00C738C5" w:rsidRPr="00C738C5" w:rsidRDefault="00C738C5" w:rsidP="00C738C5">
            <w:pPr>
              <w:rPr>
                <w:sz w:val="24"/>
                <w:szCs w:val="24"/>
              </w:rPr>
            </w:pPr>
            <w:r w:rsidRPr="00C738C5">
              <w:rPr>
                <w:sz w:val="24"/>
                <w:szCs w:val="24"/>
              </w:rPr>
              <w:t>– Kept a global perspective: integrated external research (NUS CGS well-being economy study)</w:t>
            </w:r>
            <w:hyperlink r:id="rId247" w:history="1">
              <w:r w:rsidRPr="00C738C5">
                <w:rPr>
                  <w:color w:val="464FEB"/>
                  <w:sz w:val="24"/>
                  <w:szCs w:val="24"/>
                </w:rPr>
                <w:t>[4]</w:t>
              </w:r>
            </w:hyperlink>
            <w:r w:rsidRPr="00C738C5">
              <w:rPr>
                <w:sz w:val="24"/>
                <w:szCs w:val="24"/>
              </w:rPr>
              <w:t xml:space="preserve">; included international content/partners in TPC events (Sunway Univ., </w:t>
            </w:r>
            <w:proofErr w:type="spellStart"/>
            <w:r w:rsidRPr="00C738C5">
              <w:rPr>
                <w:sz w:val="24"/>
                <w:szCs w:val="24"/>
              </w:rPr>
              <w:t>OceanX</w:t>
            </w:r>
            <w:proofErr w:type="spellEnd"/>
            <w:r w:rsidRPr="00C738C5">
              <w:rPr>
                <w:sz w:val="24"/>
                <w:szCs w:val="24"/>
              </w:rPr>
              <w:t xml:space="preserve"> at Impact Week).</w:t>
            </w:r>
            <w:r w:rsidRPr="00C738C5">
              <w:rPr>
                <w:sz w:val="24"/>
                <w:szCs w:val="24"/>
              </w:rPr>
              <w:br/>
              <w:t>– Anticipated macro trends in planning (AI, climate, ESG) and encouraged discussion of them in strategy forums, aligning TPC’s transformation with these forces.</w:t>
            </w:r>
            <w:r w:rsidRPr="00C738C5">
              <w:rPr>
                <w:sz w:val="24"/>
                <w:szCs w:val="24"/>
              </w:rPr>
              <w:br/>
              <w:t>– Emphasized stakeholder impact: factored employee well-being and community effect into decisions (e.g. steered leadership to consider social impact of business moves).</w:t>
            </w:r>
            <w:r w:rsidRPr="00C738C5">
              <w:rPr>
                <w:sz w:val="24"/>
                <w:szCs w:val="24"/>
              </w:rPr>
              <w:br/>
              <w:t>– Exuded optimism and solution-focus: framed challenges as “dash to the finish” or “game changer” rather than threats; celebrated team successes publicly; maintained morale with encouraging communications.</w:t>
            </w:r>
            <w:r w:rsidRPr="00C738C5">
              <w:rPr>
                <w:sz w:val="24"/>
                <w:szCs w:val="24"/>
              </w:rPr>
              <w:br/>
              <w:t>– Built external networks in new domains (impact investing, education) to broaden TPC’s influence and learn from others, positioning TPC as an open and forward-thinking organization.</w:t>
            </w:r>
          </w:p>
        </w:tc>
        <w:tc>
          <w:tcPr>
            <w:tcW w:w="0" w:type="auto"/>
            <w:vAlign w:val="center"/>
            <w:hideMark/>
          </w:tcPr>
          <w:p w14:paraId="127E75FE" w14:textId="77777777" w:rsidR="00C738C5" w:rsidRPr="00C738C5" w:rsidRDefault="00C738C5" w:rsidP="00C738C5">
            <w:pPr>
              <w:rPr>
                <w:sz w:val="24"/>
                <w:szCs w:val="24"/>
              </w:rPr>
            </w:pPr>
            <w:r w:rsidRPr="00C738C5">
              <w:rPr>
                <w:b/>
                <w:bCs/>
                <w:sz w:val="24"/>
                <w:szCs w:val="24"/>
              </w:rPr>
              <w:t>Future-Ready Strategy:</w:t>
            </w:r>
            <w:r w:rsidRPr="00C738C5">
              <w:rPr>
                <w:sz w:val="24"/>
                <w:szCs w:val="24"/>
              </w:rPr>
              <w:t xml:space="preserve"> Incorporating global and societal trends meant the transformation set TPC up for long-term relevance (e.g. digital initiatives aligned with global AI wave; culture changes aligned with international ESG movement). TPC is less likely to be blindsided by external changes and more likely to capitalize on them.</w:t>
            </w:r>
            <w:r w:rsidRPr="00C738C5">
              <w:rPr>
                <w:sz w:val="24"/>
                <w:szCs w:val="24"/>
              </w:rPr>
              <w:br/>
            </w:r>
            <w:r w:rsidRPr="00C738C5">
              <w:rPr>
                <w:b/>
                <w:bCs/>
                <w:sz w:val="24"/>
                <w:szCs w:val="24"/>
              </w:rPr>
              <w:t>Reputation &amp; Ecosystem</w:t>
            </w:r>
            <w:r w:rsidRPr="00C738C5">
              <w:rPr>
                <w:sz w:val="24"/>
                <w:szCs w:val="24"/>
              </w:rPr>
              <w:t>: TPC’s active role in broader conversations (through research, Impact Week, partnerships) elevated its reputation as a thought leader, attracting partners and talent. The worldview approach turned transformation into a platform for TPC to engage the world, not just internal change.</w:t>
            </w:r>
            <w:r w:rsidRPr="00C738C5">
              <w:rPr>
                <w:sz w:val="24"/>
                <w:szCs w:val="24"/>
              </w:rPr>
              <w:br/>
            </w:r>
            <w:r w:rsidRPr="00C738C5">
              <w:rPr>
                <w:b/>
                <w:bCs/>
                <w:sz w:val="24"/>
                <w:szCs w:val="24"/>
              </w:rPr>
              <w:t>Stakeholder Support:</w:t>
            </w:r>
            <w:r w:rsidRPr="00C738C5">
              <w:rPr>
                <w:sz w:val="24"/>
                <w:szCs w:val="24"/>
              </w:rPr>
              <w:t xml:space="preserve"> Considering broader impact built goodwill. Employees, seeing their well-being valued, supported tough changes more readily. External stakeholders saw TPC moving responsibly, facing less pushback. This social license smoothed implementation of changes (few </w:t>
            </w:r>
            <w:proofErr w:type="spellStart"/>
            <w:r w:rsidRPr="00C738C5">
              <w:rPr>
                <w:sz w:val="24"/>
                <w:szCs w:val="24"/>
              </w:rPr>
              <w:t>labor</w:t>
            </w:r>
            <w:proofErr w:type="spellEnd"/>
            <w:r w:rsidRPr="00C738C5">
              <w:rPr>
                <w:sz w:val="24"/>
                <w:szCs w:val="24"/>
              </w:rPr>
              <w:t xml:space="preserve"> issues or public criticisms during the transformation year).</w:t>
            </w:r>
            <w:r w:rsidRPr="00C738C5">
              <w:rPr>
                <w:sz w:val="24"/>
                <w:szCs w:val="24"/>
              </w:rPr>
              <w:br/>
            </w:r>
            <w:r w:rsidRPr="00C738C5">
              <w:rPr>
                <w:b/>
                <w:bCs/>
                <w:sz w:val="24"/>
                <w:szCs w:val="24"/>
              </w:rPr>
              <w:t>Positive Change Culture:</w:t>
            </w:r>
            <w:r w:rsidRPr="00C738C5">
              <w:rPr>
                <w:sz w:val="24"/>
                <w:szCs w:val="24"/>
              </w:rPr>
              <w:t xml:space="preserve"> Employee A’s positive attitude kept the organization energized and resilient. Instead of change fatigue, there was a sense of progress and optimism by year-end. Teams that hit roadblocks didn’t stall out – they regrouped and tried new approaches. This optimism-fuelled persistence was critical in pushing through the year’s objectives successfully.</w:t>
            </w:r>
          </w:p>
        </w:tc>
      </w:tr>
    </w:tbl>
    <w:p w14:paraId="3211ED1B" w14:textId="77777777" w:rsidR="00C738C5" w:rsidRPr="00C738C5" w:rsidRDefault="00C738C5" w:rsidP="00C738C5">
      <w:pPr>
        <w:spacing w:before="100" w:beforeAutospacing="1" w:after="100" w:afterAutospacing="1" w:line="300" w:lineRule="atLeast"/>
        <w:rPr>
          <w:rFonts w:ascii="Segoe UI" w:hAnsi="Segoe UI" w:cs="Segoe UI"/>
          <w:sz w:val="21"/>
          <w:szCs w:val="21"/>
        </w:rPr>
      </w:pPr>
      <w:r w:rsidRPr="00C738C5">
        <w:rPr>
          <w:rFonts w:ascii="Segoe UI" w:hAnsi="Segoe UI" w:cs="Segoe UI"/>
          <w:sz w:val="21"/>
          <w:szCs w:val="21"/>
        </w:rPr>
        <w:t xml:space="preserve">As evidenced above, Employee A excelled in bringing a </w:t>
      </w:r>
      <w:r w:rsidRPr="00C738C5">
        <w:rPr>
          <w:rFonts w:ascii="Segoe UI" w:hAnsi="Segoe UI" w:cs="Segoe UI"/>
          <w:b/>
          <w:bCs/>
          <w:sz w:val="21"/>
          <w:szCs w:val="21"/>
        </w:rPr>
        <w:t>quantum leadership approach</w:t>
      </w:r>
      <w:r w:rsidRPr="00C738C5">
        <w:rPr>
          <w:rFonts w:ascii="Segoe UI" w:hAnsi="Segoe UI" w:cs="Segoe UI"/>
          <w:sz w:val="21"/>
          <w:szCs w:val="21"/>
        </w:rPr>
        <w:t xml:space="preserve"> to life, combining analytical rigor, bold action, personal and organizational purpose, and a worldly positive outlook. These attributes were not just abstract qualities – they manifested in day-to-day leadership </w:t>
      </w:r>
      <w:proofErr w:type="spellStart"/>
      <w:r w:rsidRPr="00C738C5">
        <w:rPr>
          <w:rFonts w:ascii="Segoe UI" w:hAnsi="Segoe UI" w:cs="Segoe UI"/>
          <w:sz w:val="21"/>
          <w:szCs w:val="21"/>
        </w:rPr>
        <w:t>behaviors</w:t>
      </w:r>
      <w:proofErr w:type="spellEnd"/>
      <w:r w:rsidRPr="00C738C5">
        <w:rPr>
          <w:rFonts w:ascii="Segoe UI" w:hAnsi="Segoe UI" w:cs="Segoe UI"/>
          <w:sz w:val="21"/>
          <w:szCs w:val="21"/>
        </w:rPr>
        <w:t xml:space="preserve"> that tangibly advanced TPC’s transformation in 2025. Employee A’s ability to balance and integrate these mindsets made him an indispensable change leader. He ensured that TPC’s evolution was multi-dimensional: data-driven yet human-centric, urgent yet values-based, locally effective yet globally informed. In doing so, he helped set TPC on a course to thrive in an ever-changing world, proving the power of quantum leadership in practice.</w:t>
      </w:r>
    </w:p>
    <w:p w14:paraId="74C1E70B" w14:textId="77777777" w:rsidR="00C738C5" w:rsidRPr="00C738C5" w:rsidRDefault="00C738C5" w:rsidP="00C738C5">
      <w:pPr>
        <w:spacing w:line="300" w:lineRule="atLeast"/>
        <w:rPr>
          <w:rFonts w:ascii="Segoe UI Semibold" w:hAnsi="Segoe UI Semibold" w:cs="Segoe UI Semibold"/>
          <w:b/>
          <w:bCs/>
          <w:sz w:val="18"/>
          <w:szCs w:val="18"/>
        </w:rPr>
      </w:pPr>
      <w:r w:rsidRPr="00C738C5">
        <w:rPr>
          <w:rFonts w:ascii="Segoe UI Semibold" w:hAnsi="Segoe UI Semibold" w:cs="Segoe UI Semibold"/>
          <w:b/>
          <w:bCs/>
          <w:sz w:val="18"/>
          <w:szCs w:val="18"/>
        </w:rPr>
        <w:br/>
        <w:t>References</w:t>
      </w:r>
    </w:p>
    <w:p w14:paraId="4DC980B7"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[1] </w:t>
      </w:r>
      <w:hyperlink r:id="rId248" w:history="1">
        <w:r w:rsidRPr="00C738C5">
          <w:rPr>
            <w:rFonts w:ascii="Segoe UI" w:hAnsi="Segoe UI" w:cs="Segoe UI"/>
            <w:color w:val="464FEB"/>
            <w:sz w:val="21"/>
            <w:szCs w:val="21"/>
          </w:rPr>
          <w:t>Blended Leadership Program 2-3 July 2025</w:t>
        </w:r>
      </w:hyperlink>
    </w:p>
    <w:p w14:paraId="465BBFBA"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[2] </w:t>
      </w:r>
      <w:hyperlink r:id="rId249" w:history="1">
        <w:proofErr w:type="spellStart"/>
        <w:r w:rsidRPr="00C738C5">
          <w:rPr>
            <w:rFonts w:ascii="Segoe UI" w:hAnsi="Segoe UI" w:cs="Segoe UI"/>
            <w:color w:val="464FEB"/>
            <w:sz w:val="21"/>
            <w:szCs w:val="21"/>
          </w:rPr>
          <w:t>Fw</w:t>
        </w:r>
        <w:proofErr w:type="spellEnd"/>
        <w:r w:rsidRPr="00C738C5">
          <w:rPr>
            <w:rFonts w:ascii="Segoe UI" w:hAnsi="Segoe UI" w:cs="Segoe UI"/>
            <w:color w:val="464FEB"/>
            <w:sz w:val="21"/>
            <w:szCs w:val="21"/>
          </w:rPr>
          <w:t>: [For Kenneth pl] Mindful Male Leadership Program FW: Proposal for Facilitating at MEP Closing Retreat June 2025</w:t>
        </w:r>
      </w:hyperlink>
    </w:p>
    <w:p w14:paraId="48D714D7"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[3] </w:t>
      </w:r>
      <w:hyperlink r:id="rId250" w:history="1">
        <w:r w:rsidRPr="00C738C5">
          <w:rPr>
            <w:rFonts w:ascii="Segoe UI" w:hAnsi="Segoe UI" w:cs="Segoe UI"/>
            <w:color w:val="464FEB"/>
            <w:sz w:val="21"/>
            <w:szCs w:val="21"/>
          </w:rPr>
          <w:t>RE: [Singapore] Year 2024 Performance, Contribution and Growth</w:t>
        </w:r>
      </w:hyperlink>
    </w:p>
    <w:p w14:paraId="7E4766E0"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[4] </w:t>
      </w:r>
      <w:hyperlink r:id="rId251" w:history="1">
        <w:r w:rsidRPr="00C738C5">
          <w:rPr>
            <w:rFonts w:ascii="Segoe UI" w:hAnsi="Segoe UI" w:cs="Segoe UI"/>
            <w:color w:val="464FEB"/>
            <w:sz w:val="21"/>
            <w:szCs w:val="21"/>
          </w:rPr>
          <w:t>FW: WEGA second milestone invoice to TPC</w:t>
        </w:r>
      </w:hyperlink>
    </w:p>
    <w:p w14:paraId="1442995C"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[5] </w:t>
      </w:r>
      <w:hyperlink r:id="rId252" w:history="1">
        <w:r w:rsidRPr="00C738C5">
          <w:rPr>
            <w:rFonts w:ascii="Segoe UI" w:hAnsi="Segoe UI" w:cs="Segoe UI"/>
            <w:color w:val="464FEB"/>
            <w:sz w:val="21"/>
            <w:szCs w:val="21"/>
          </w:rPr>
          <w:t>Proposed Facilitator Script with Detailed Explanations for Each Slide</w:t>
        </w:r>
      </w:hyperlink>
    </w:p>
    <w:p w14:paraId="5A022D2C"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[6] </w:t>
      </w:r>
      <w:hyperlink r:id="rId253" w:history="1">
        <w:proofErr w:type="spellStart"/>
        <w:r w:rsidRPr="00C738C5">
          <w:rPr>
            <w:rFonts w:ascii="Segoe UI" w:hAnsi="Segoe UI" w:cs="Segoe UI"/>
            <w:color w:val="464FEB"/>
            <w:sz w:val="21"/>
            <w:szCs w:val="21"/>
          </w:rPr>
          <w:t>FinanceTOM</w:t>
        </w:r>
        <w:proofErr w:type="spellEnd"/>
      </w:hyperlink>
    </w:p>
    <w:p w14:paraId="208BC727" w14:textId="77777777" w:rsidR="00C738C5" w:rsidRPr="00C738C5" w:rsidRDefault="00C738C5" w:rsidP="00C738C5">
      <w:pPr>
        <w:spacing w:line="300" w:lineRule="atLeast"/>
        <w:rPr>
          <w:rFonts w:ascii="Segoe UI" w:hAnsi="Segoe UI" w:cs="Segoe UI"/>
          <w:sz w:val="21"/>
          <w:szCs w:val="21"/>
        </w:rPr>
      </w:pPr>
      <w:r w:rsidRPr="00C738C5">
        <w:rPr>
          <w:rFonts w:ascii="Segoe UI" w:hAnsi="Segoe UI" w:cs="Segoe UI"/>
          <w:sz w:val="21"/>
          <w:szCs w:val="21"/>
        </w:rPr>
        <w:t xml:space="preserve">[7] </w:t>
      </w:r>
      <w:hyperlink r:id="rId254" w:history="1">
        <w:r w:rsidRPr="00C738C5">
          <w:rPr>
            <w:rFonts w:ascii="Segoe UI" w:hAnsi="Segoe UI" w:cs="Segoe UI"/>
            <w:color w:val="464FEB"/>
            <w:sz w:val="21"/>
            <w:szCs w:val="21"/>
          </w:rPr>
          <w:t>IW Programme Content Summary (Old)</w:t>
        </w:r>
      </w:hyperlink>
    </w:p>
    <w:p w14:paraId="225247BC" w14:textId="77777777" w:rsidR="00B77BFA" w:rsidRDefault="00B77BFA" w:rsidP="000A107E">
      <w:pPr>
        <w:autoSpaceDE w:val="0"/>
        <w:autoSpaceDN w:val="0"/>
        <w:adjustRightInd w:val="0"/>
        <w:rPr>
          <w:rFonts w:ascii="Inter Medium" w:eastAsia="DengXian" w:hAnsi="Inter Medium" w:cs="Inter Medium"/>
          <w:color w:val="041B44"/>
          <w:sz w:val="21"/>
          <w:szCs w:val="21"/>
          <w14:ligatures w14:val="standardContextual"/>
        </w:rPr>
      </w:pPr>
    </w:p>
    <w:p w14:paraId="39358526" w14:textId="77777777" w:rsidR="00B77BFA" w:rsidRPr="000A107E" w:rsidRDefault="00B77BFA" w:rsidP="000A107E">
      <w:pPr>
        <w:autoSpaceDE w:val="0"/>
        <w:autoSpaceDN w:val="0"/>
        <w:adjustRightInd w:val="0"/>
        <w:rPr>
          <w:rFonts w:ascii="Inter Medium" w:eastAsia="DengXian" w:hAnsi="Inter Medium" w:cs="Inter Medium"/>
          <w:color w:val="041B44"/>
          <w:sz w:val="21"/>
          <w:szCs w:val="21"/>
          <w14:ligatures w14:val="standardContextual"/>
        </w:rPr>
      </w:pPr>
    </w:p>
    <w:p w14:paraId="3BA6A72C"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SECTION D: AREAS OF DEVELOPMENT</w:t>
      </w:r>
    </w:p>
    <w:p w14:paraId="0368084C" w14:textId="77777777" w:rsidR="000A107E" w:rsidRPr="000A107E" w:rsidRDefault="000A107E" w:rsidP="000A107E">
      <w:pPr>
        <w:numPr>
          <w:ilvl w:val="0"/>
          <w:numId w:val="4"/>
        </w:numPr>
        <w:autoSpaceDE w:val="0"/>
        <w:autoSpaceDN w:val="0"/>
        <w:adjustRightInd w:val="0"/>
        <w:spacing w:after="160" w:line="278" w:lineRule="auto"/>
        <w:rPr>
          <w:rFonts w:ascii="Inter Medium" w:eastAsia="DengXian" w:hAnsi="Inter Medium" w:cs="Inter Medium"/>
          <w:color w:val="041B44"/>
          <w:sz w:val="21"/>
          <w:szCs w:val="21"/>
          <w14:ligatures w14:val="standardContextual"/>
        </w:rPr>
      </w:pPr>
      <w:r w:rsidRPr="000A107E">
        <w:rPr>
          <w:rFonts w:ascii="Inter Medium" w:eastAsia="DengXian" w:hAnsi="Inter Medium" w:cs="Inter Medium"/>
          <w:color w:val="041B44"/>
          <w:sz w:val="21"/>
          <w:szCs w:val="21"/>
          <w14:ligatures w14:val="standardContextual"/>
        </w:rPr>
        <w:t>What should the individual do more of, do less off.  Which areas can we help him develop in?</w:t>
      </w:r>
    </w:p>
    <w:p w14:paraId="4912FFC2" w14:textId="77777777" w:rsidR="000A107E" w:rsidRDefault="000A107E" w:rsidP="000A107E">
      <w:pPr>
        <w:autoSpaceDE w:val="0"/>
        <w:autoSpaceDN w:val="0"/>
        <w:adjustRightInd w:val="0"/>
        <w:rPr>
          <w:rFonts w:ascii="Inter" w:eastAsia="DengXian" w:hAnsi="Inter" w:cs="Inter"/>
          <w:color w:val="656565"/>
          <w:sz w:val="16"/>
          <w:szCs w:val="16"/>
          <w14:ligatures w14:val="standardContextual"/>
        </w:rPr>
      </w:pPr>
    </w:p>
    <w:p w14:paraId="73D16F46" w14:textId="77777777" w:rsidR="00DC57A5" w:rsidRPr="00DC57A5" w:rsidRDefault="00DC57A5" w:rsidP="00DC57A5">
      <w:pPr>
        <w:spacing w:before="100" w:beforeAutospacing="1" w:after="100" w:afterAutospacing="1" w:line="300" w:lineRule="atLeast"/>
        <w:outlineLvl w:val="0"/>
        <w:rPr>
          <w:rFonts w:ascii="Segoe UI" w:hAnsi="Segoe UI" w:cs="Segoe UI"/>
          <w:b/>
          <w:bCs/>
          <w:kern w:val="36"/>
          <w:sz w:val="48"/>
          <w:szCs w:val="48"/>
        </w:rPr>
      </w:pPr>
      <w:r w:rsidRPr="00DC57A5">
        <w:rPr>
          <w:rFonts w:ascii="Segoe UI" w:hAnsi="Segoe UI" w:cs="Segoe UI"/>
          <w:b/>
          <w:bCs/>
          <w:kern w:val="36"/>
          <w:sz w:val="48"/>
          <w:szCs w:val="48"/>
        </w:rPr>
        <w:t>Employee A’s 2025 Development Areas – “Do More, Do Less, Develop” Assessment</w:t>
      </w:r>
    </w:p>
    <w:p w14:paraId="44A6D175"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Overview:</w:t>
      </w:r>
      <w:r w:rsidRPr="00DC57A5">
        <w:rPr>
          <w:rFonts w:ascii="Segoe UI" w:hAnsi="Segoe UI" w:cs="Segoe UI"/>
          <w:sz w:val="21"/>
          <w:szCs w:val="21"/>
        </w:rPr>
        <w:t xml:space="preserve"> In 2025, Dr. Employee A exhibited strong quantum leadership in driving TPC’s transformation. To further enhance his effectiveness, we identify key areas where Employee A can amplify successful </w:t>
      </w:r>
      <w:proofErr w:type="spellStart"/>
      <w:r w:rsidRPr="00DC57A5">
        <w:rPr>
          <w:rFonts w:ascii="Segoe UI" w:hAnsi="Segoe UI" w:cs="Segoe UI"/>
          <w:sz w:val="21"/>
          <w:szCs w:val="21"/>
        </w:rPr>
        <w:t>behaviors</w:t>
      </w:r>
      <w:proofErr w:type="spellEnd"/>
      <w:r w:rsidRPr="00DC57A5">
        <w:rPr>
          <w:rFonts w:ascii="Segoe UI" w:hAnsi="Segoe UI" w:cs="Segoe UI"/>
          <w:sz w:val="21"/>
          <w:szCs w:val="21"/>
        </w:rPr>
        <w:t>, moderate certain tendencies, and develop additional capabilities. These recommendations are grounded in enterprise evidence from 2025 and aligned with TPC’s transformation goals and leadership culture.</w:t>
      </w:r>
    </w:p>
    <w:p w14:paraId="4EBE4740" w14:textId="77777777" w:rsidR="00DC57A5" w:rsidRPr="00DC57A5" w:rsidRDefault="00977BB2" w:rsidP="00DC57A5">
      <w:pPr>
        <w:spacing w:line="300" w:lineRule="atLeast"/>
        <w:rPr>
          <w:rFonts w:ascii="Segoe UI" w:hAnsi="Segoe UI" w:cs="Segoe UI"/>
          <w:sz w:val="21"/>
          <w:szCs w:val="21"/>
        </w:rPr>
      </w:pPr>
      <w:r>
        <w:rPr>
          <w:rFonts w:ascii="Segoe UI" w:hAnsi="Segoe UI" w:cs="Segoe UI"/>
          <w:sz w:val="21"/>
          <w:szCs w:val="21"/>
        </w:rPr>
        <w:pict w14:anchorId="77FB1A93">
          <v:rect id="_x0000_i1034" style="width:0;height:1.5pt" o:hralign="center" o:hrstd="t" o:hr="t" fillcolor="#a0a0a0" stroked="f"/>
        </w:pict>
      </w:r>
    </w:p>
    <w:p w14:paraId="74C0429B" w14:textId="77777777" w:rsidR="00DC57A5" w:rsidRPr="00DC57A5" w:rsidRDefault="00DC57A5" w:rsidP="00DC57A5">
      <w:pPr>
        <w:spacing w:before="100" w:beforeAutospacing="1" w:after="100" w:afterAutospacing="1" w:line="300" w:lineRule="atLeast"/>
        <w:outlineLvl w:val="1"/>
        <w:rPr>
          <w:rFonts w:ascii="Segoe UI" w:hAnsi="Segoe UI" w:cs="Segoe UI"/>
          <w:b/>
          <w:bCs/>
          <w:sz w:val="36"/>
          <w:szCs w:val="36"/>
        </w:rPr>
      </w:pPr>
      <w:r w:rsidRPr="00DC57A5">
        <w:rPr>
          <w:rFonts w:ascii="Segoe UI" w:hAnsi="Segoe UI" w:cs="Segoe UI"/>
          <w:b/>
          <w:bCs/>
          <w:sz w:val="36"/>
          <w:szCs w:val="36"/>
        </w:rPr>
        <w:t>Amplify Strengths – Do More of What Works</w:t>
      </w:r>
    </w:p>
    <w:p w14:paraId="0EC824C7"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1. Empowering Team Members through Delegation and Mentorship:</w:t>
      </w:r>
      <w:r w:rsidRPr="00DC57A5">
        <w:rPr>
          <w:rFonts w:ascii="Segoe UI" w:hAnsi="Segoe UI" w:cs="Segoe UI"/>
          <w:sz w:val="21"/>
          <w:szCs w:val="21"/>
        </w:rPr>
        <w:t xml:space="preserve"> Employee A should continue to </w:t>
      </w:r>
      <w:r w:rsidRPr="00DC57A5">
        <w:rPr>
          <w:rFonts w:ascii="Segoe UI" w:hAnsi="Segoe UI" w:cs="Segoe UI"/>
          <w:b/>
          <w:bCs/>
          <w:sz w:val="21"/>
          <w:szCs w:val="21"/>
        </w:rPr>
        <w:t>delegate authority and broaden his team’s responsibilities</w:t>
      </w:r>
      <w:r w:rsidRPr="00DC57A5">
        <w:rPr>
          <w:rFonts w:ascii="Segoe UI" w:hAnsi="Segoe UI" w:cs="Segoe UI"/>
          <w:sz w:val="21"/>
          <w:szCs w:val="21"/>
        </w:rPr>
        <w:t xml:space="preserve">, building on steps he took in 2025. For example, he expanded Facilitator A’s role to </w:t>
      </w:r>
      <w:r w:rsidRPr="00DC57A5">
        <w:rPr>
          <w:rFonts w:ascii="Segoe UI" w:hAnsi="Segoe UI" w:cs="Segoe UI"/>
          <w:i/>
          <w:iCs/>
          <w:sz w:val="21"/>
          <w:szCs w:val="21"/>
        </w:rPr>
        <w:t>“deputise [him]”</w:t>
      </w:r>
      <w:r w:rsidRPr="00DC57A5">
        <w:rPr>
          <w:rFonts w:ascii="Segoe UI" w:hAnsi="Segoe UI" w:cs="Segoe UI"/>
          <w:sz w:val="21"/>
          <w:szCs w:val="21"/>
        </w:rPr>
        <w:t xml:space="preserve"> and lead group-level projects (AI coaching, overseas support), and he noted she is on track for a promotion</w:t>
      </w:r>
      <w:hyperlink r:id="rId255" w:history="1">
        <w:r w:rsidRPr="00DC57A5">
          <w:rPr>
            <w:rFonts w:ascii="Segoe UI" w:hAnsi="Segoe UI" w:cs="Segoe UI"/>
            <w:color w:val="464FEB"/>
            <w:sz w:val="21"/>
            <w:szCs w:val="21"/>
          </w:rPr>
          <w:t>[1]</w:t>
        </w:r>
      </w:hyperlink>
      <w:r w:rsidRPr="00DC57A5">
        <w:rPr>
          <w:rFonts w:ascii="Segoe UI" w:hAnsi="Segoe UI" w:cs="Segoe UI"/>
          <w:sz w:val="21"/>
          <w:szCs w:val="21"/>
        </w:rPr>
        <w:t xml:space="preserve">. This indicates his trust in protégés and a willingness to share leadership. </w:t>
      </w:r>
      <w:r w:rsidRPr="00DC57A5">
        <w:rPr>
          <w:rFonts w:ascii="Segoe UI" w:hAnsi="Segoe UI" w:cs="Segoe UI"/>
          <w:b/>
          <w:bCs/>
          <w:sz w:val="21"/>
          <w:szCs w:val="21"/>
        </w:rPr>
        <w:t>Doing more of this</w:t>
      </w:r>
      <w:r w:rsidRPr="00DC57A5">
        <w:rPr>
          <w:rFonts w:ascii="Segoe UI" w:hAnsi="Segoe UI" w:cs="Segoe UI"/>
          <w:sz w:val="21"/>
          <w:szCs w:val="21"/>
        </w:rPr>
        <w:t xml:space="preserve"> – empowering direct reports with greater ownership – will free Employee A to focus on strategic oversight while developing the next tier of leaders. It will also distribute the transformation workload, preventing bottlenecks. In 2025, Employee A often spearheaded initiatives personally; going forward, he can assign qualified team members to lead new projects (with his guidance). For instance, as TPC scales AI and culture programs, Employee A might designate senior staff to champion these in different business units. By acting more as a coach and sponsor (and less as the day-to-day driver) for these initiatives, he multiplies TPC’s leadership capacity. The results will be two-fold: </w:t>
      </w:r>
      <w:r w:rsidRPr="00DC57A5">
        <w:rPr>
          <w:rFonts w:ascii="Segoe UI" w:hAnsi="Segoe UI" w:cs="Segoe UI"/>
          <w:b/>
          <w:bCs/>
          <w:sz w:val="21"/>
          <w:szCs w:val="21"/>
        </w:rPr>
        <w:t>(a)</w:t>
      </w:r>
      <w:r w:rsidRPr="00DC57A5">
        <w:rPr>
          <w:rFonts w:ascii="Segoe UI" w:hAnsi="Segoe UI" w:cs="Segoe UI"/>
          <w:sz w:val="21"/>
          <w:szCs w:val="21"/>
        </w:rPr>
        <w:t xml:space="preserve"> Employee A can concentrate on high-level integration and navigating the macro context, and </w:t>
      </w:r>
      <w:r w:rsidRPr="00DC57A5">
        <w:rPr>
          <w:rFonts w:ascii="Segoe UI" w:hAnsi="Segoe UI" w:cs="Segoe UI"/>
          <w:b/>
          <w:bCs/>
          <w:sz w:val="21"/>
          <w:szCs w:val="21"/>
        </w:rPr>
        <w:t>(b)</w:t>
      </w:r>
      <w:r w:rsidRPr="00DC57A5">
        <w:rPr>
          <w:rFonts w:ascii="Segoe UI" w:hAnsi="Segoe UI" w:cs="Segoe UI"/>
          <w:sz w:val="21"/>
          <w:szCs w:val="21"/>
        </w:rPr>
        <w:t xml:space="preserve"> his team gains experience and confidence, ensuring transformation efforts are sustainable. This approach aligns with TPC’s Good Management Model emphasis on </w:t>
      </w:r>
      <w:r w:rsidRPr="00DC57A5">
        <w:rPr>
          <w:rFonts w:ascii="Segoe UI" w:hAnsi="Segoe UI" w:cs="Segoe UI"/>
          <w:i/>
          <w:iCs/>
          <w:sz w:val="21"/>
          <w:szCs w:val="21"/>
        </w:rPr>
        <w:t>Co-creation</w:t>
      </w:r>
      <w:r w:rsidRPr="00DC57A5">
        <w:rPr>
          <w:rFonts w:ascii="Segoe UI" w:hAnsi="Segoe UI" w:cs="Segoe UI"/>
          <w:sz w:val="21"/>
          <w:szCs w:val="21"/>
        </w:rPr>
        <w:t xml:space="preserve"> and </w:t>
      </w:r>
      <w:r w:rsidRPr="00DC57A5">
        <w:rPr>
          <w:rFonts w:ascii="Segoe UI" w:hAnsi="Segoe UI" w:cs="Segoe UI"/>
          <w:i/>
          <w:iCs/>
          <w:sz w:val="21"/>
          <w:szCs w:val="21"/>
        </w:rPr>
        <w:t>Collaboration</w:t>
      </w:r>
      <w:r w:rsidRPr="00DC57A5">
        <w:rPr>
          <w:rFonts w:ascii="Segoe UI" w:hAnsi="Segoe UI" w:cs="Segoe UI"/>
          <w:sz w:val="21"/>
          <w:szCs w:val="21"/>
        </w:rPr>
        <w:t xml:space="preserve"> – Employee A would be </w:t>
      </w:r>
      <w:proofErr w:type="spellStart"/>
      <w:r w:rsidRPr="00DC57A5">
        <w:rPr>
          <w:rFonts w:ascii="Segoe UI" w:hAnsi="Segoe UI" w:cs="Segoe UI"/>
          <w:sz w:val="21"/>
          <w:szCs w:val="21"/>
        </w:rPr>
        <w:t>modeling</w:t>
      </w:r>
      <w:proofErr w:type="spellEnd"/>
      <w:r w:rsidRPr="00DC57A5">
        <w:rPr>
          <w:rFonts w:ascii="Segoe UI" w:hAnsi="Segoe UI" w:cs="Segoe UI"/>
          <w:sz w:val="21"/>
          <w:szCs w:val="21"/>
        </w:rPr>
        <w:t xml:space="preserve"> those values by co-creating outcomes with his team rather than individually. Enterprise records show he already started this shift (e.g. arranging for a new Head of OD and an Assessment Lead to take over segments of work</w:t>
      </w:r>
      <w:hyperlink r:id="rId256" w:history="1">
        <w:r w:rsidRPr="00DC57A5">
          <w:rPr>
            <w:rFonts w:ascii="Segoe UI" w:hAnsi="Segoe UI" w:cs="Segoe UI"/>
            <w:color w:val="464FEB"/>
            <w:sz w:val="21"/>
            <w:szCs w:val="21"/>
          </w:rPr>
          <w:t>[2]</w:t>
        </w:r>
      </w:hyperlink>
      <w:r w:rsidRPr="00DC57A5">
        <w:rPr>
          <w:rFonts w:ascii="Segoe UI" w:hAnsi="Segoe UI" w:cs="Segoe UI"/>
          <w:sz w:val="21"/>
          <w:szCs w:val="21"/>
        </w:rPr>
        <w:t>); doubling down on delegation will amplify his impact across more fronts.</w:t>
      </w:r>
    </w:p>
    <w:p w14:paraId="2F37B27F"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2. Leveraging External Partnerships and Networks for Greater Impact:</w:t>
      </w:r>
      <w:r w:rsidRPr="00DC57A5">
        <w:rPr>
          <w:rFonts w:ascii="Segoe UI" w:hAnsi="Segoe UI" w:cs="Segoe UI"/>
          <w:sz w:val="21"/>
          <w:szCs w:val="21"/>
        </w:rPr>
        <w:t xml:space="preserve"> Employee A excelled at building strategic partnerships in 2025 – he should </w:t>
      </w:r>
      <w:r w:rsidRPr="00DC57A5">
        <w:rPr>
          <w:rFonts w:ascii="Segoe UI" w:hAnsi="Segoe UI" w:cs="Segoe UI"/>
          <w:i/>
          <w:iCs/>
          <w:sz w:val="21"/>
          <w:szCs w:val="21"/>
        </w:rPr>
        <w:t>do even more</w:t>
      </w:r>
      <w:r w:rsidRPr="00DC57A5">
        <w:rPr>
          <w:rFonts w:ascii="Segoe UI" w:hAnsi="Segoe UI" w:cs="Segoe UI"/>
          <w:sz w:val="21"/>
          <w:szCs w:val="21"/>
        </w:rPr>
        <w:t xml:space="preserve"> to harness these networks for TPC’s benefit. As Deputy ED of Octave, he cultivated relationships with academia and industry (e.g. NUS’s Centre for Governance and Sustainability, Singapore Management University, </w:t>
      </w:r>
      <w:proofErr w:type="spellStart"/>
      <w:r w:rsidRPr="00DC57A5">
        <w:rPr>
          <w:rFonts w:ascii="Segoe UI" w:hAnsi="Segoe UI" w:cs="Segoe UI"/>
          <w:sz w:val="21"/>
          <w:szCs w:val="21"/>
        </w:rPr>
        <w:t>OceanX</w:t>
      </w:r>
      <w:proofErr w:type="spellEnd"/>
      <w:r w:rsidRPr="00DC57A5">
        <w:rPr>
          <w:rFonts w:ascii="Segoe UI" w:hAnsi="Segoe UI" w:cs="Segoe UI"/>
          <w:sz w:val="21"/>
          <w:szCs w:val="21"/>
        </w:rPr>
        <w:t>) that enriched TPC’s transformation initiatives. For instance, Employee A managed the NUS CGS collaboration on the well-being economy (WEGA) project, serving as interim chair and ensuring Stage 1 deliverables (Theory of Change, case studies, WEGA report) were completed and showcased at Impact Week</w:t>
      </w:r>
      <w:hyperlink r:id="rId257" w:history="1">
        <w:r w:rsidRPr="00DC57A5">
          <w:rPr>
            <w:rFonts w:ascii="Segoe UI" w:hAnsi="Segoe UI" w:cs="Segoe UI"/>
            <w:color w:val="464FEB"/>
            <w:sz w:val="21"/>
            <w:szCs w:val="21"/>
          </w:rPr>
          <w:t>[3]</w:t>
        </w:r>
      </w:hyperlink>
      <w:r w:rsidRPr="00DC57A5">
        <w:rPr>
          <w:rFonts w:ascii="Segoe UI" w:hAnsi="Segoe UI" w:cs="Segoe UI"/>
          <w:sz w:val="21"/>
          <w:szCs w:val="21"/>
        </w:rPr>
        <w:t>. He coordinated the milestone payment smoothly once NUS met all obligations</w:t>
      </w:r>
      <w:hyperlink r:id="rId258" w:history="1">
        <w:r w:rsidRPr="00DC57A5">
          <w:rPr>
            <w:rFonts w:ascii="Segoe UI" w:hAnsi="Segoe UI" w:cs="Segoe UI"/>
            <w:color w:val="464FEB"/>
            <w:sz w:val="21"/>
            <w:szCs w:val="21"/>
          </w:rPr>
          <w:t>[3]</w:t>
        </w:r>
      </w:hyperlink>
      <w:hyperlink r:id="rId259" w:history="1">
        <w:r w:rsidRPr="00DC57A5">
          <w:rPr>
            <w:rFonts w:ascii="Segoe UI" w:hAnsi="Segoe UI" w:cs="Segoe UI"/>
            <w:color w:val="464FEB"/>
            <w:sz w:val="21"/>
            <w:szCs w:val="21"/>
          </w:rPr>
          <w:t>[3]</w:t>
        </w:r>
      </w:hyperlink>
      <w:r w:rsidRPr="00DC57A5">
        <w:rPr>
          <w:rFonts w:ascii="Segoe UI" w:hAnsi="Segoe UI" w:cs="Segoe UI"/>
          <w:sz w:val="21"/>
          <w:szCs w:val="21"/>
        </w:rPr>
        <w:t xml:space="preserve">. To build on this success, Employee A can </w:t>
      </w:r>
      <w:r w:rsidRPr="00DC57A5">
        <w:rPr>
          <w:rFonts w:ascii="Segoe UI" w:hAnsi="Segoe UI" w:cs="Segoe UI"/>
          <w:b/>
          <w:bCs/>
          <w:sz w:val="21"/>
          <w:szCs w:val="21"/>
        </w:rPr>
        <w:t>further leverage these external ties</w:t>
      </w:r>
      <w:r w:rsidRPr="00DC57A5">
        <w:rPr>
          <w:rFonts w:ascii="Segoe UI" w:hAnsi="Segoe UI" w:cs="Segoe UI"/>
          <w:sz w:val="21"/>
          <w:szCs w:val="21"/>
        </w:rPr>
        <w:t xml:space="preserve"> by translating them into tangible business value and innovation. This could mean co-developing new programs or solutions with partners (for example, creating a joint analytics tool with NUS, or an industry pilot with a tech firm introduced via Impact Week). It could also involve inviting more external experts to advise on TPC’s internal projects, injecting fresh perspectives. In 2025, Employee A’s networking opened doors – e.g. he brought Prof. Lawrence Loh of NUS into Impact Week’s Education track</w:t>
      </w:r>
      <w:hyperlink r:id="rId260" w:history="1">
        <w:r w:rsidRPr="00DC57A5">
          <w:rPr>
            <w:rFonts w:ascii="Segoe UI" w:hAnsi="Segoe UI" w:cs="Segoe UI"/>
            <w:color w:val="464FEB"/>
            <w:sz w:val="21"/>
            <w:szCs w:val="21"/>
          </w:rPr>
          <w:t>[3]</w:t>
        </w:r>
      </w:hyperlink>
      <w:r w:rsidRPr="00DC57A5">
        <w:rPr>
          <w:rFonts w:ascii="Segoe UI" w:hAnsi="Segoe UI" w:cs="Segoe UI"/>
          <w:sz w:val="21"/>
          <w:szCs w:val="21"/>
        </w:rPr>
        <w:t xml:space="preserve">, and connected with impact investors through Octave’s events. Going forward, he can formalize some of these collaborations (through MOUs or ongoing working groups) to ensure continuity. </w:t>
      </w:r>
      <w:r w:rsidRPr="00DC57A5">
        <w:rPr>
          <w:rFonts w:ascii="Segoe UI" w:hAnsi="Segoe UI" w:cs="Segoe UI"/>
          <w:b/>
          <w:bCs/>
          <w:sz w:val="21"/>
          <w:szCs w:val="21"/>
        </w:rPr>
        <w:t>Expanding his positive outreach</w:t>
      </w:r>
      <w:r w:rsidRPr="00DC57A5">
        <w:rPr>
          <w:rFonts w:ascii="Segoe UI" w:hAnsi="Segoe UI" w:cs="Segoe UI"/>
          <w:sz w:val="21"/>
          <w:szCs w:val="21"/>
        </w:rPr>
        <w:t xml:space="preserve"> also supports TPC’s evolving role as an “Impact Organization”: by engaging more with the broader ecosystem, Employee A keeps TPC at the forefront of macro trends. Moreover, it aligns with the </w:t>
      </w:r>
      <w:r w:rsidRPr="00DC57A5">
        <w:rPr>
          <w:rFonts w:ascii="Segoe UI" w:hAnsi="Segoe UI" w:cs="Segoe UI"/>
          <w:i/>
          <w:iCs/>
          <w:sz w:val="21"/>
          <w:szCs w:val="21"/>
        </w:rPr>
        <w:t>Worldview mindset</w:t>
      </w:r>
      <w:r w:rsidRPr="00DC57A5">
        <w:rPr>
          <w:rFonts w:ascii="Segoe UI" w:hAnsi="Segoe UI" w:cs="Segoe UI"/>
          <w:sz w:val="21"/>
          <w:szCs w:val="21"/>
        </w:rPr>
        <w:t xml:space="preserve"> of quantum leadership – seeing TPC as part of a larger community and proactively forming alliances. The benefit of doing more here will be a steady inflow of new ideas, credibility in domains like sustainability and AI, and potential co-investment or co-creation opportunities that can accelerate TPC’s transformation beyond what internal efforts alone could achieve. </w:t>
      </w:r>
    </w:p>
    <w:p w14:paraId="06C78191"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3. Strengthening Data-Driven Storytelling of Transformation Impact:</w:t>
      </w:r>
      <w:r w:rsidRPr="00DC57A5">
        <w:rPr>
          <w:rFonts w:ascii="Segoe UI" w:hAnsi="Segoe UI" w:cs="Segoe UI"/>
          <w:sz w:val="21"/>
          <w:szCs w:val="21"/>
        </w:rPr>
        <w:t xml:space="preserve"> Employee A has a keen analytical mindset; he should continue to </w:t>
      </w:r>
      <w:r w:rsidRPr="00DC57A5">
        <w:rPr>
          <w:rFonts w:ascii="Segoe UI" w:hAnsi="Segoe UI" w:cs="Segoe UI"/>
          <w:b/>
          <w:bCs/>
          <w:sz w:val="21"/>
          <w:szCs w:val="21"/>
        </w:rPr>
        <w:t>use data and metrics to communicate progress</w:t>
      </w:r>
      <w:r w:rsidRPr="00DC57A5">
        <w:rPr>
          <w:rFonts w:ascii="Segoe UI" w:hAnsi="Segoe UI" w:cs="Segoe UI"/>
          <w:sz w:val="21"/>
          <w:szCs w:val="21"/>
        </w:rPr>
        <w:t>, and push this even further in 2026. In 2025, he introduced rigorous tracking in areas like performance (100% of appraisals on e-system) and process efficiency (24 workflows automated, 500+ hours saved)</w:t>
      </w:r>
      <w:hyperlink r:id="rId261" w:history="1">
        <w:r w:rsidRPr="00DC57A5">
          <w:rPr>
            <w:rFonts w:ascii="Segoe UI" w:hAnsi="Segoe UI" w:cs="Segoe UI"/>
            <w:color w:val="464FEB"/>
            <w:sz w:val="21"/>
            <w:szCs w:val="21"/>
          </w:rPr>
          <w:t>[4]</w:t>
        </w:r>
      </w:hyperlink>
      <w:hyperlink r:id="rId262" w:history="1">
        <w:r w:rsidRPr="00DC57A5">
          <w:rPr>
            <w:rFonts w:ascii="Segoe UI" w:hAnsi="Segoe UI" w:cs="Segoe UI"/>
            <w:color w:val="464FEB"/>
            <w:sz w:val="21"/>
            <w:szCs w:val="21"/>
          </w:rPr>
          <w:t>[4]</w:t>
        </w:r>
      </w:hyperlink>
      <w:r w:rsidRPr="00DC57A5">
        <w:rPr>
          <w:rFonts w:ascii="Segoe UI" w:hAnsi="Segoe UI" w:cs="Segoe UI"/>
          <w:sz w:val="21"/>
          <w:szCs w:val="21"/>
        </w:rPr>
        <w:t>. He also set clear targets (e.g. 80% satisfaction in leadership programs</w:t>
      </w:r>
      <w:hyperlink r:id="rId263" w:history="1">
        <w:r w:rsidRPr="00DC57A5">
          <w:rPr>
            <w:rFonts w:ascii="Segoe UI" w:hAnsi="Segoe UI" w:cs="Segoe UI"/>
            <w:color w:val="464FEB"/>
            <w:sz w:val="21"/>
            <w:szCs w:val="21"/>
          </w:rPr>
          <w:t>[5]</w:t>
        </w:r>
      </w:hyperlink>
      <w:r w:rsidRPr="00DC57A5">
        <w:rPr>
          <w:rFonts w:ascii="Segoe UI" w:hAnsi="Segoe UI" w:cs="Segoe UI"/>
          <w:sz w:val="21"/>
          <w:szCs w:val="21"/>
        </w:rPr>
        <w:t xml:space="preserve">). To amplify this strength, Employee A can more consistently quantify outcomes of culture and leadership initiatives – turning qualitative benefits into concrete numbers or case studies. For example, after the 360° feedback exercise, he might </w:t>
      </w:r>
      <w:proofErr w:type="spellStart"/>
      <w:r w:rsidRPr="00DC57A5">
        <w:rPr>
          <w:rFonts w:ascii="Segoe UI" w:hAnsi="Segoe UI" w:cs="Segoe UI"/>
          <w:sz w:val="21"/>
          <w:szCs w:val="21"/>
        </w:rPr>
        <w:t>analyze</w:t>
      </w:r>
      <w:proofErr w:type="spellEnd"/>
      <w:r w:rsidRPr="00DC57A5">
        <w:rPr>
          <w:rFonts w:ascii="Segoe UI" w:hAnsi="Segoe UI" w:cs="Segoe UI"/>
          <w:sz w:val="21"/>
          <w:szCs w:val="21"/>
        </w:rPr>
        <w:t xml:space="preserve"> correlations between leaders who improved (based on follow-up coaching) and team engagement scores, thereby demonstrating ROI of feedback and coaching. Similarly, for the Quantum Leadership Program, he could report how many trained leaders led successful projects post-program. By doing more of this data-driven storytelling, Employee A will bolster support from analytical stakeholders (like finance or business heads) who respond to evidence of impact. It will also help him identify which initiatives yield the best results, informing where to focus efforts. In essence, continuing to “measure what matters” – a practice Employee A championed by tagging OKRs with strategic pillars for AI analysis</w:t>
      </w:r>
      <w:hyperlink r:id="rId264" w:history="1">
        <w:r w:rsidRPr="00DC57A5">
          <w:rPr>
            <w:rFonts w:ascii="Segoe UI" w:hAnsi="Segoe UI" w:cs="Segoe UI"/>
            <w:color w:val="464FEB"/>
            <w:sz w:val="21"/>
            <w:szCs w:val="21"/>
          </w:rPr>
          <w:t>[4]</w:t>
        </w:r>
      </w:hyperlink>
      <w:hyperlink r:id="rId265" w:history="1">
        <w:r w:rsidRPr="00DC57A5">
          <w:rPr>
            <w:rFonts w:ascii="Segoe UI" w:hAnsi="Segoe UI" w:cs="Segoe UI"/>
            <w:color w:val="464FEB"/>
            <w:sz w:val="21"/>
            <w:szCs w:val="21"/>
          </w:rPr>
          <w:t>[4]</w:t>
        </w:r>
      </w:hyperlink>
      <w:r w:rsidRPr="00DC57A5">
        <w:rPr>
          <w:rFonts w:ascii="Segoe UI" w:hAnsi="Segoe UI" w:cs="Segoe UI"/>
          <w:sz w:val="21"/>
          <w:szCs w:val="21"/>
        </w:rPr>
        <w:t xml:space="preserve"> – will ensure TPC’s transformation stays results-oriented and credible. This doesn’t mean turning everything into a number, but rather complementing TPC’s purpose narrative with clear facts. Employee A’s dual focus on purpose </w:t>
      </w:r>
      <w:r w:rsidRPr="00DC57A5">
        <w:rPr>
          <w:rFonts w:ascii="Segoe UI" w:hAnsi="Segoe UI" w:cs="Segoe UI"/>
          <w:b/>
          <w:bCs/>
          <w:sz w:val="21"/>
          <w:szCs w:val="21"/>
        </w:rPr>
        <w:t>and</w:t>
      </w:r>
      <w:r w:rsidRPr="00DC57A5">
        <w:rPr>
          <w:rFonts w:ascii="Segoe UI" w:hAnsi="Segoe UI" w:cs="Segoe UI"/>
          <w:sz w:val="21"/>
          <w:szCs w:val="21"/>
        </w:rPr>
        <w:t xml:space="preserve"> performance is a hallmark of his leadership; doing even more with internal data analytics (now that data silos are breaking down) will amplify his effectiveness. As TPC enters 2026, stakeholders will want to see how Employee A’s various programs (from </w:t>
      </w:r>
      <w:proofErr w:type="spellStart"/>
      <w:r w:rsidRPr="00DC57A5">
        <w:rPr>
          <w:rFonts w:ascii="Segoe UI" w:hAnsi="Segoe UI" w:cs="Segoe UI"/>
          <w:sz w:val="21"/>
          <w:szCs w:val="21"/>
        </w:rPr>
        <w:t>TalentVerse</w:t>
      </w:r>
      <w:proofErr w:type="spellEnd"/>
      <w:r w:rsidRPr="00DC57A5">
        <w:rPr>
          <w:rFonts w:ascii="Segoe UI" w:hAnsi="Segoe UI" w:cs="Segoe UI"/>
          <w:sz w:val="21"/>
          <w:szCs w:val="21"/>
        </w:rPr>
        <w:t xml:space="preserve"> to Well-being Mandate integration) are moving the needle. By proactively showcasing data-backed wins, he will maintain momentum and secure continued investment in transformation. </w:t>
      </w:r>
    </w:p>
    <w:p w14:paraId="2EC23978"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i/>
          <w:iCs/>
          <w:sz w:val="21"/>
          <w:szCs w:val="21"/>
        </w:rPr>
        <w:t>Recommendation Rationale:</w:t>
      </w:r>
      <w:r w:rsidRPr="00DC57A5">
        <w:rPr>
          <w:rFonts w:ascii="Segoe UI" w:hAnsi="Segoe UI" w:cs="Segoe UI"/>
          <w:sz w:val="21"/>
          <w:szCs w:val="21"/>
        </w:rPr>
        <w:t xml:space="preserve"> By </w:t>
      </w:r>
      <w:r w:rsidRPr="00DC57A5">
        <w:rPr>
          <w:rFonts w:ascii="Segoe UI" w:hAnsi="Segoe UI" w:cs="Segoe UI"/>
          <w:b/>
          <w:bCs/>
          <w:sz w:val="21"/>
          <w:szCs w:val="21"/>
        </w:rPr>
        <w:t xml:space="preserve">amplifying these </w:t>
      </w:r>
      <w:proofErr w:type="spellStart"/>
      <w:r w:rsidRPr="00DC57A5">
        <w:rPr>
          <w:rFonts w:ascii="Segoe UI" w:hAnsi="Segoe UI" w:cs="Segoe UI"/>
          <w:b/>
          <w:bCs/>
          <w:sz w:val="21"/>
          <w:szCs w:val="21"/>
        </w:rPr>
        <w:t>behaviors</w:t>
      </w:r>
      <w:proofErr w:type="spellEnd"/>
      <w:r w:rsidRPr="00DC57A5">
        <w:rPr>
          <w:rFonts w:ascii="Segoe UI" w:hAnsi="Segoe UI" w:cs="Segoe UI"/>
          <w:sz w:val="21"/>
          <w:szCs w:val="21"/>
        </w:rPr>
        <w:t xml:space="preserve"> – delegating more, leveraging partnerships, and underscoring impact with data – Employee A will scale his influence and ensure TPC’s transformation gains even broader traction. These “do more” areas build on his existing strengths, pushing them to the next level. They align with TPC’s cultural values (collaboration, stakeholder engagement, transparency) and directly support the company’s strategic evolution (e.g. external partnerships driving innovation, empowered teams driving change on the ground). In sum, doubling down on what worked in 2025 will help Employee A and TPC achieve even more ambitious outcomes in 2026.</w:t>
      </w:r>
    </w:p>
    <w:p w14:paraId="6C23875C" w14:textId="77777777" w:rsidR="00DC57A5" w:rsidRPr="00DC57A5" w:rsidRDefault="00977BB2" w:rsidP="00DC57A5">
      <w:pPr>
        <w:spacing w:line="300" w:lineRule="atLeast"/>
        <w:rPr>
          <w:rFonts w:ascii="Segoe UI" w:hAnsi="Segoe UI" w:cs="Segoe UI"/>
          <w:sz w:val="21"/>
          <w:szCs w:val="21"/>
        </w:rPr>
      </w:pPr>
      <w:r>
        <w:rPr>
          <w:rFonts w:ascii="Segoe UI" w:hAnsi="Segoe UI" w:cs="Segoe UI"/>
          <w:sz w:val="21"/>
          <w:szCs w:val="21"/>
        </w:rPr>
        <w:pict w14:anchorId="77376479">
          <v:rect id="_x0000_i1035" style="width:0;height:1.5pt" o:hralign="center" o:hrstd="t" o:hr="t" fillcolor="#a0a0a0" stroked="f"/>
        </w:pict>
      </w:r>
    </w:p>
    <w:p w14:paraId="2A0CBB4D" w14:textId="77777777" w:rsidR="00DC57A5" w:rsidRPr="00DC57A5" w:rsidRDefault="00DC57A5" w:rsidP="00DC57A5">
      <w:pPr>
        <w:spacing w:before="100" w:beforeAutospacing="1" w:after="100" w:afterAutospacing="1" w:line="300" w:lineRule="atLeast"/>
        <w:outlineLvl w:val="1"/>
        <w:rPr>
          <w:rFonts w:ascii="Segoe UI" w:hAnsi="Segoe UI" w:cs="Segoe UI"/>
          <w:b/>
          <w:bCs/>
          <w:sz w:val="36"/>
          <w:szCs w:val="36"/>
        </w:rPr>
      </w:pPr>
      <w:r w:rsidRPr="00DC57A5">
        <w:rPr>
          <w:rFonts w:ascii="Segoe UI" w:hAnsi="Segoe UI" w:cs="Segoe UI"/>
          <w:b/>
          <w:bCs/>
          <w:sz w:val="36"/>
          <w:szCs w:val="36"/>
        </w:rPr>
        <w:t>Moderate Tendencies – Do Less of Potential Limiting Habits</w:t>
      </w:r>
    </w:p>
    <w:p w14:paraId="457A3B95"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1. Avoiding Overextension and Overload:</w:t>
      </w:r>
      <w:r w:rsidRPr="00DC57A5">
        <w:rPr>
          <w:rFonts w:ascii="Segoe UI" w:hAnsi="Segoe UI" w:cs="Segoe UI"/>
          <w:sz w:val="21"/>
          <w:szCs w:val="21"/>
        </w:rPr>
        <w:t xml:space="preserve"> One area to moderate is Employee A’s tendency to personally take on a very large scope of work. In 2025, Employee A wore multiple hats – driving corporate initiatives (OKRs, 360 feedback, digital workflows) while running Octave Institute’s programs – which at times stretched his capacity. He himself recognized this in an email to the Group CCO: </w:t>
      </w:r>
      <w:r w:rsidRPr="00DC57A5">
        <w:rPr>
          <w:rFonts w:ascii="Segoe UI" w:hAnsi="Segoe UI" w:cs="Segoe UI"/>
          <w:i/>
          <w:iCs/>
          <w:sz w:val="21"/>
          <w:szCs w:val="21"/>
        </w:rPr>
        <w:t>“The impact work itself will require my full attention, so it is best that the Head OD steps in as early as possible”</w:t>
      </w:r>
      <w:hyperlink r:id="rId266" w:history="1">
        <w:r w:rsidRPr="00DC57A5">
          <w:rPr>
            <w:rFonts w:ascii="Segoe UI" w:hAnsi="Segoe UI" w:cs="Segoe UI"/>
            <w:color w:val="464FEB"/>
            <w:sz w:val="21"/>
            <w:szCs w:val="21"/>
          </w:rPr>
          <w:t>[2]</w:t>
        </w:r>
      </w:hyperlink>
      <w:r w:rsidRPr="00DC57A5">
        <w:rPr>
          <w:rFonts w:ascii="Segoe UI" w:hAnsi="Segoe UI" w:cs="Segoe UI"/>
          <w:sz w:val="21"/>
          <w:szCs w:val="21"/>
        </w:rPr>
        <w:t xml:space="preserve">. This candid admission showed that Employee A was juggling transformation “impact work” alongside acting as de-facto Head of OD and lead for assessment, and he wisely pushed to fill those roles with dedicated hires. Going forward, Employee A should do </w:t>
      </w:r>
      <w:r w:rsidRPr="00DC57A5">
        <w:rPr>
          <w:rFonts w:ascii="Segoe UI" w:hAnsi="Segoe UI" w:cs="Segoe UI"/>
          <w:b/>
          <w:bCs/>
          <w:sz w:val="21"/>
          <w:szCs w:val="21"/>
        </w:rPr>
        <w:t>less of the “do it all” approach</w:t>
      </w:r>
      <w:r w:rsidRPr="00DC57A5">
        <w:rPr>
          <w:rFonts w:ascii="Segoe UI" w:hAnsi="Segoe UI" w:cs="Segoe UI"/>
          <w:sz w:val="21"/>
          <w:szCs w:val="21"/>
        </w:rPr>
        <w:t xml:space="preserve"> and ensure he doesn’t become a bottleneck by overextending. That means continuing to entrust major workstreams to others (as noted, he did by hiring an OD head and empowering Joanne and others). It also means being selective in where he personally dives deep. For example, in 2025 he directly facilitated many workshops, authored strategy documents, and managed details like performance form rollouts – all valuable contributions, but some of which could be delegated. By stepping back from operational minutiae and heavy personal workload, Employee A can reduce the risk of burnout (for himself and his core team) and gain more bandwidth for strategic thinking. Moderating this habit will also prevent any delays that come from one person trying to oversee too much. There were no major misses in 2025 – a testament to Employee A’s heroic effort – but as transformation activities grow, the approach of “doing less </w:t>
      </w:r>
      <w:r w:rsidRPr="00DC57A5">
        <w:rPr>
          <w:rFonts w:ascii="Segoe UI" w:hAnsi="Segoe UI" w:cs="Segoe UI"/>
          <w:i/>
          <w:iCs/>
          <w:sz w:val="21"/>
          <w:szCs w:val="21"/>
        </w:rPr>
        <w:t>personally</w:t>
      </w:r>
      <w:r w:rsidRPr="00DC57A5">
        <w:rPr>
          <w:rFonts w:ascii="Segoe UI" w:hAnsi="Segoe UI" w:cs="Segoe UI"/>
          <w:sz w:val="21"/>
          <w:szCs w:val="21"/>
        </w:rPr>
        <w:t xml:space="preserve"> so that more gets done collectively” will be important. Additionally, by not overextending, Employee A can maintain the high energy and optimism he’s known for; spreading himself too thin could dilute the positive attitude that is one of his leadership assets. In essence, </w:t>
      </w:r>
      <w:r w:rsidRPr="00DC57A5">
        <w:rPr>
          <w:rFonts w:ascii="Segoe UI" w:hAnsi="Segoe UI" w:cs="Segoe UI"/>
          <w:b/>
          <w:bCs/>
          <w:sz w:val="21"/>
          <w:szCs w:val="21"/>
        </w:rPr>
        <w:t>working smarter, not just harder</w:t>
      </w:r>
      <w:r w:rsidRPr="00DC57A5">
        <w:rPr>
          <w:rFonts w:ascii="Segoe UI" w:hAnsi="Segoe UI" w:cs="Segoe UI"/>
          <w:sz w:val="21"/>
          <w:szCs w:val="21"/>
        </w:rPr>
        <w:t>, is the next step. This might involve saying no to some non-critical requests, phasing initiatives in sequence rather than simultaneously, and leaning on the strengthened team around him. Such calibration is a normal evolution for a leader scaling up impact. The evidence from 2025 (needing an OD head urgently, etc.) suggests that learning to pace himself and his projects is an area to address. By doing less all-at-once and relying more on structure, Employee A will actually accomplish more in the long run – with focus on the highest-value activities that truly require his leadership.</w:t>
      </w:r>
    </w:p>
    <w:p w14:paraId="7D4CAF52"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2. Reducing One-Size-Fits-All Approaches – Tailor to Local Contexts:</w:t>
      </w:r>
      <w:r w:rsidRPr="00DC57A5">
        <w:rPr>
          <w:rFonts w:ascii="Segoe UI" w:hAnsi="Segoe UI" w:cs="Segoe UI"/>
          <w:sz w:val="21"/>
          <w:szCs w:val="21"/>
        </w:rPr>
        <w:t xml:space="preserve"> As Employee A drove group-wide programs, there were instances where a uniform approach caused minor friction in specific contexts. He should be mindful to </w:t>
      </w:r>
      <w:r w:rsidRPr="00DC57A5">
        <w:rPr>
          <w:rFonts w:ascii="Segoe UI" w:hAnsi="Segoe UI" w:cs="Segoe UI"/>
          <w:b/>
          <w:bCs/>
          <w:sz w:val="21"/>
          <w:szCs w:val="21"/>
        </w:rPr>
        <w:t>do less of a blanket approach and more tailoring or upfront engagement</w:t>
      </w:r>
      <w:r w:rsidRPr="00DC57A5">
        <w:rPr>
          <w:rFonts w:ascii="Segoe UI" w:hAnsi="Segoe UI" w:cs="Segoe UI"/>
          <w:sz w:val="21"/>
          <w:szCs w:val="21"/>
        </w:rPr>
        <w:t>, especially with outlying business units or cultures. A notable example came from the 360° feedback rollout. The process was standardized globally (with P&amp;O pre-selecting reviewers for each leader to ensure objectivity). While this worked overall, one senior leader in China (Qiu Peng) raised concerns about some chosen reviewers with whom there was “limited work interaction”</w:t>
      </w:r>
      <w:hyperlink r:id="rId267" w:history="1">
        <w:r w:rsidRPr="00DC57A5">
          <w:rPr>
            <w:rFonts w:ascii="Segoe UI" w:hAnsi="Segoe UI" w:cs="Segoe UI"/>
            <w:color w:val="464FEB"/>
            <w:sz w:val="21"/>
            <w:szCs w:val="21"/>
          </w:rPr>
          <w:t>[6]</w:t>
        </w:r>
      </w:hyperlink>
      <w:hyperlink r:id="rId268" w:history="1">
        <w:r w:rsidRPr="00DC57A5">
          <w:rPr>
            <w:rFonts w:ascii="Segoe UI" w:hAnsi="Segoe UI" w:cs="Segoe UI"/>
            <w:color w:val="464FEB"/>
            <w:sz w:val="21"/>
            <w:szCs w:val="21"/>
          </w:rPr>
          <w:t>[7]</w:t>
        </w:r>
      </w:hyperlink>
      <w:r w:rsidRPr="00DC57A5">
        <w:rPr>
          <w:rFonts w:ascii="Segoe UI" w:hAnsi="Segoe UI" w:cs="Segoe UI"/>
          <w:sz w:val="21"/>
          <w:szCs w:val="21"/>
        </w:rPr>
        <w:t xml:space="preserve">. As Sherin Goh observed, Qiu Peng’s feedback </w:t>
      </w:r>
      <w:r w:rsidRPr="00DC57A5">
        <w:rPr>
          <w:rFonts w:ascii="Segoe UI" w:hAnsi="Segoe UI" w:cs="Segoe UI"/>
          <w:i/>
          <w:iCs/>
          <w:sz w:val="21"/>
          <w:szCs w:val="21"/>
        </w:rPr>
        <w:t>“is in itself a feedback about… the interaction (or lack thereof) between TPC China Office and the BUs in China.”</w:t>
      </w:r>
      <w:hyperlink r:id="rId269" w:history="1">
        <w:r w:rsidRPr="00DC57A5">
          <w:rPr>
            <w:rFonts w:ascii="Segoe UI" w:hAnsi="Segoe UI" w:cs="Segoe UI"/>
            <w:color w:val="464FEB"/>
            <w:sz w:val="21"/>
            <w:szCs w:val="21"/>
          </w:rPr>
          <w:t>[7]</w:t>
        </w:r>
      </w:hyperlink>
      <w:r w:rsidRPr="00DC57A5">
        <w:rPr>
          <w:rFonts w:ascii="Segoe UI" w:hAnsi="Segoe UI" w:cs="Segoe UI"/>
          <w:sz w:val="21"/>
          <w:szCs w:val="21"/>
        </w:rPr>
        <w:t>. In other words, a process designed at HQ inadvertently highlighted a gap in cross-entity relationships – and from QP’s perspective, might have felt misaligned. To his credit, Employee A’s team addressed the issue: they clarified communications and acknowledged the need to bridge that gap</w:t>
      </w:r>
      <w:hyperlink r:id="rId270" w:history="1">
        <w:r w:rsidRPr="00DC57A5">
          <w:rPr>
            <w:rFonts w:ascii="Segoe UI" w:hAnsi="Segoe UI" w:cs="Segoe UI"/>
            <w:color w:val="464FEB"/>
            <w:sz w:val="21"/>
            <w:szCs w:val="21"/>
          </w:rPr>
          <w:t>[8]</w:t>
        </w:r>
      </w:hyperlink>
      <w:hyperlink r:id="rId271" w:history="1">
        <w:r w:rsidRPr="00DC57A5">
          <w:rPr>
            <w:rFonts w:ascii="Segoe UI" w:hAnsi="Segoe UI" w:cs="Segoe UI"/>
            <w:color w:val="464FEB"/>
            <w:sz w:val="21"/>
            <w:szCs w:val="21"/>
          </w:rPr>
          <w:t>[8]</w:t>
        </w:r>
      </w:hyperlink>
      <w:r w:rsidRPr="00DC57A5">
        <w:rPr>
          <w:rFonts w:ascii="Segoe UI" w:hAnsi="Segoe UI" w:cs="Segoe UI"/>
          <w:sz w:val="21"/>
          <w:szCs w:val="21"/>
        </w:rPr>
        <w:t xml:space="preserve">. Moving forward, Employee A should moderate any impulse to apply initiatives uniformly without adaptation. Instead, he could engage local leaders early to get their input and explain rationale, or adjust execution to fit their reality. For instance, for future feedback rounds or programs, he might allow a slight customization (perhaps giving a China leader the chance to swap out one reviewer for someone more relevant) while still keeping the overall integrity of the process. Likewise, when rolling out new systems like e-PCG, ensuring local HR heads are fully briefed and can localize support materials (e.g. language, examples) will help adoption. </w:t>
      </w:r>
      <w:r w:rsidRPr="00DC57A5">
        <w:rPr>
          <w:rFonts w:ascii="Segoe UI" w:hAnsi="Segoe UI" w:cs="Segoe UI"/>
          <w:b/>
          <w:bCs/>
          <w:sz w:val="21"/>
          <w:szCs w:val="21"/>
        </w:rPr>
        <w:t>Doing less “top-down” and more co-creation at the local level</w:t>
      </w:r>
      <w:r w:rsidRPr="00DC57A5">
        <w:rPr>
          <w:rFonts w:ascii="Segoe UI" w:hAnsi="Segoe UI" w:cs="Segoe UI"/>
          <w:sz w:val="21"/>
          <w:szCs w:val="21"/>
        </w:rPr>
        <w:t xml:space="preserve"> will prevent misunderstandings and increase buy-in. This is especially pertinent for TPC’s geographically diverse operations. Employee A can leverage his collaborative strengths here: bring representatives from each region or subsidiary into the planning phase (not just after decisions are made). By moderating any one-size-fits-all implementation style, he’ll also strengthen the </w:t>
      </w:r>
      <w:r w:rsidRPr="00DC57A5">
        <w:rPr>
          <w:rFonts w:ascii="Segoe UI" w:hAnsi="Segoe UI" w:cs="Segoe UI"/>
          <w:i/>
          <w:iCs/>
          <w:sz w:val="21"/>
          <w:szCs w:val="21"/>
        </w:rPr>
        <w:t>Awareness and Alignment</w:t>
      </w:r>
      <w:r w:rsidRPr="00DC57A5">
        <w:rPr>
          <w:rFonts w:ascii="Segoe UI" w:hAnsi="Segoe UI" w:cs="Segoe UI"/>
          <w:sz w:val="21"/>
          <w:szCs w:val="21"/>
        </w:rPr>
        <w:t xml:space="preserve"> aspects of the Good Management Model across TPC. In 2025, no serious fallout occurred – the China office completed the 360 feedback fully – but addressing the subtle discontent was a learning moment. The goal is to ensure all leaders feel the process is </w:t>
      </w:r>
      <w:r w:rsidRPr="00DC57A5">
        <w:rPr>
          <w:rFonts w:ascii="Segoe UI" w:hAnsi="Segoe UI" w:cs="Segoe UI"/>
          <w:i/>
          <w:iCs/>
          <w:sz w:val="21"/>
          <w:szCs w:val="21"/>
        </w:rPr>
        <w:t>for</w:t>
      </w:r>
      <w:r w:rsidRPr="00DC57A5">
        <w:rPr>
          <w:rFonts w:ascii="Segoe UI" w:hAnsi="Segoe UI" w:cs="Segoe UI"/>
          <w:sz w:val="21"/>
          <w:szCs w:val="21"/>
        </w:rPr>
        <w:t xml:space="preserve"> them, not </w:t>
      </w:r>
      <w:r w:rsidRPr="00DC57A5">
        <w:rPr>
          <w:rFonts w:ascii="Segoe UI" w:hAnsi="Segoe UI" w:cs="Segoe UI"/>
          <w:i/>
          <w:iCs/>
          <w:sz w:val="21"/>
          <w:szCs w:val="21"/>
        </w:rPr>
        <w:t>to</w:t>
      </w:r>
      <w:r w:rsidRPr="00DC57A5">
        <w:rPr>
          <w:rFonts w:ascii="Segoe UI" w:hAnsi="Segoe UI" w:cs="Segoe UI"/>
          <w:sz w:val="21"/>
          <w:szCs w:val="21"/>
        </w:rPr>
        <w:t xml:space="preserve"> them. In summary, Employee A should do less unilateral rollout and invest even more in stakeholder consultation and contextualization. This will minimize friction (“why are we doing this?” questions) and make each initiative land with the intended positive impact in every part of TPC.</w:t>
      </w:r>
    </w:p>
    <w:p w14:paraId="01EEE816"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3. Double-Checking Communications to Avoid Confusion:</w:t>
      </w:r>
      <w:r w:rsidRPr="00DC57A5">
        <w:rPr>
          <w:rFonts w:ascii="Segoe UI" w:hAnsi="Segoe UI" w:cs="Segoe UI"/>
          <w:sz w:val="21"/>
          <w:szCs w:val="21"/>
        </w:rPr>
        <w:t xml:space="preserve"> One final habit to temper is the rush in communications. Employee A is very action-oriented, which sometimes led to minor communication oversights that needed correction. A case in point was the initial email draft about the 360° feedback process. It inadvertently stated that leaders would select reviewers with their managers, which wasn’t the plan (the list was pre-determined)</w:t>
      </w:r>
      <w:hyperlink r:id="rId272" w:history="1">
        <w:r w:rsidRPr="00DC57A5">
          <w:rPr>
            <w:rFonts w:ascii="Segoe UI" w:hAnsi="Segoe UI" w:cs="Segoe UI"/>
            <w:color w:val="464FEB"/>
            <w:sz w:val="21"/>
            <w:szCs w:val="21"/>
          </w:rPr>
          <w:t>[8]</w:t>
        </w:r>
      </w:hyperlink>
      <w:r w:rsidRPr="00DC57A5">
        <w:rPr>
          <w:rFonts w:ascii="Segoe UI" w:hAnsi="Segoe UI" w:cs="Segoe UI"/>
          <w:sz w:val="21"/>
          <w:szCs w:val="21"/>
        </w:rPr>
        <w:t xml:space="preserve">. </w:t>
      </w:r>
      <w:hyperlink r:id="rId273" w:history="1">
        <w:r w:rsidRPr="00DC57A5">
          <w:rPr>
            <w:rFonts w:ascii="Segoe UI" w:hAnsi="Segoe UI" w:cs="Segoe UI"/>
            <w:color w:val="464FEB"/>
            <w:sz w:val="21"/>
            <w:szCs w:val="21"/>
          </w:rPr>
          <w:t xml:space="preserve">Tang Bek </w:t>
        </w:r>
        <w:proofErr w:type="spellStart"/>
        <w:r w:rsidRPr="00DC57A5">
          <w:rPr>
            <w:rFonts w:ascii="Segoe UI" w:hAnsi="Segoe UI" w:cs="Segoe UI"/>
            <w:color w:val="464FEB"/>
            <w:sz w:val="21"/>
            <w:szCs w:val="21"/>
          </w:rPr>
          <w:t>Wuay</w:t>
        </w:r>
        <w:proofErr w:type="spellEnd"/>
      </w:hyperlink>
      <w:r w:rsidRPr="00DC57A5">
        <w:rPr>
          <w:rFonts w:ascii="Segoe UI" w:hAnsi="Segoe UI" w:cs="Segoe UI"/>
          <w:sz w:val="21"/>
          <w:szCs w:val="21"/>
        </w:rPr>
        <w:t xml:space="preserve"> caught this and promptly amended the wording to clarify that </w:t>
      </w:r>
      <w:r w:rsidRPr="00DC57A5">
        <w:rPr>
          <w:rFonts w:ascii="Segoe UI" w:hAnsi="Segoe UI" w:cs="Segoe UI"/>
          <w:i/>
          <w:iCs/>
          <w:sz w:val="21"/>
          <w:szCs w:val="21"/>
        </w:rPr>
        <w:t>“P&amp;O has already coordinated with your managers to identify your reviewers, so no action is required from you.”</w:t>
      </w:r>
      <w:hyperlink r:id="rId274" w:history="1">
        <w:r w:rsidRPr="00DC57A5">
          <w:rPr>
            <w:rFonts w:ascii="Segoe UI" w:hAnsi="Segoe UI" w:cs="Segoe UI"/>
            <w:color w:val="464FEB"/>
            <w:sz w:val="21"/>
            <w:szCs w:val="21"/>
          </w:rPr>
          <w:t>[8]</w:t>
        </w:r>
      </w:hyperlink>
      <w:r w:rsidRPr="00DC57A5">
        <w:rPr>
          <w:rFonts w:ascii="Segoe UI" w:hAnsi="Segoe UI" w:cs="Segoe UI"/>
          <w:sz w:val="21"/>
          <w:szCs w:val="21"/>
        </w:rPr>
        <w:t xml:space="preserve">. The email was fixed before being sent, preventing confusion. This illustrates that in the flurry of implementing new ideas, some details can slip. Employee A should strive to </w:t>
      </w:r>
      <w:r w:rsidRPr="00DC57A5">
        <w:rPr>
          <w:rFonts w:ascii="Segoe UI" w:hAnsi="Segoe UI" w:cs="Segoe UI"/>
          <w:b/>
          <w:bCs/>
          <w:sz w:val="21"/>
          <w:szCs w:val="21"/>
        </w:rPr>
        <w:t>do less of rushing out messaging without a thorough review</w:t>
      </w:r>
      <w:r w:rsidRPr="00DC57A5">
        <w:rPr>
          <w:rFonts w:ascii="Segoe UI" w:hAnsi="Segoe UI" w:cs="Segoe UI"/>
          <w:sz w:val="21"/>
          <w:szCs w:val="21"/>
        </w:rPr>
        <w:t>. In practice, this means instituting a reliable proofing process for major communications: as he did by involving Tang and Sherin to review the 360 briefing notes, and as was done in the 360 briefing session where slides and recordings were shared to ensure clarity</w:t>
      </w:r>
      <w:hyperlink r:id="rId275" w:history="1">
        <w:r w:rsidRPr="00DC57A5">
          <w:rPr>
            <w:rFonts w:ascii="Segoe UI" w:hAnsi="Segoe UI" w:cs="Segoe UI"/>
            <w:color w:val="464FEB"/>
            <w:sz w:val="21"/>
            <w:szCs w:val="21"/>
          </w:rPr>
          <w:t>[9]</w:t>
        </w:r>
      </w:hyperlink>
      <w:r w:rsidRPr="00DC57A5">
        <w:rPr>
          <w:rFonts w:ascii="Segoe UI" w:hAnsi="Segoe UI" w:cs="Segoe UI"/>
          <w:sz w:val="21"/>
          <w:szCs w:val="21"/>
        </w:rPr>
        <w:t>. The recommendation is that Employee A continues to use his team as a sounding board (a second pair of eyes) for important announcements, and to anticipate questions that employees might have. He could also integrate feedback channels – for example, after sending out instructions, quickly poll a few recipients to see if the message was clear. Given his high volume of communication (weekly updates, instructions, strategy notes), a tiny slowdown to validate content will save time downstream in corrections. The evidence from 2025 shows that once clarity was provided (corrected emails, detailed briefings), execution went smoothly</w:t>
      </w:r>
      <w:hyperlink r:id="rId276" w:history="1">
        <w:r w:rsidRPr="00DC57A5">
          <w:rPr>
            <w:rFonts w:ascii="Segoe UI" w:hAnsi="Segoe UI" w:cs="Segoe UI"/>
            <w:color w:val="464FEB"/>
            <w:sz w:val="21"/>
            <w:szCs w:val="21"/>
          </w:rPr>
          <w:t>[8]</w:t>
        </w:r>
      </w:hyperlink>
      <w:r w:rsidRPr="00DC57A5">
        <w:rPr>
          <w:rFonts w:ascii="Segoe UI" w:hAnsi="Segoe UI" w:cs="Segoe UI"/>
          <w:sz w:val="21"/>
          <w:szCs w:val="21"/>
        </w:rPr>
        <w:t xml:space="preserve">. By habitually double-checking and refining communications upfront, Employee A will ensure he’s always delivering messages with </w:t>
      </w:r>
      <w:r w:rsidRPr="00DC57A5">
        <w:rPr>
          <w:rFonts w:ascii="Segoe UI" w:hAnsi="Segoe UI" w:cs="Segoe UI"/>
          <w:b/>
          <w:bCs/>
          <w:sz w:val="21"/>
          <w:szCs w:val="21"/>
        </w:rPr>
        <w:t>truthfulness and transparency</w:t>
      </w:r>
      <w:r w:rsidRPr="00DC57A5">
        <w:rPr>
          <w:rFonts w:ascii="Segoe UI" w:hAnsi="Segoe UI" w:cs="Segoe UI"/>
          <w:sz w:val="21"/>
          <w:szCs w:val="21"/>
        </w:rPr>
        <w:t>, hallmarks of his integrity. This is a minor tweak, as overall his communication in 2025 was well-received (people appreciated his thoroughness and positive framing). It’s about polishing the process to avoid any avoidable confusion. In essence, do less “assume everyone knows what I mean” and more “spell it out plainly” – which Employee A is certainly capable of given his attention to detail (e.g. he even corrected a typo in a GMW deck promptly</w:t>
      </w:r>
      <w:hyperlink r:id="rId277" w:history="1">
        <w:r w:rsidRPr="00DC57A5">
          <w:rPr>
            <w:rFonts w:ascii="Segoe UI" w:hAnsi="Segoe UI" w:cs="Segoe UI"/>
            <w:color w:val="464FEB"/>
            <w:sz w:val="21"/>
            <w:szCs w:val="21"/>
          </w:rPr>
          <w:t>[10]</w:t>
        </w:r>
      </w:hyperlink>
      <w:r w:rsidRPr="00DC57A5">
        <w:rPr>
          <w:rFonts w:ascii="Segoe UI" w:hAnsi="Segoe UI" w:cs="Segoe UI"/>
          <w:sz w:val="21"/>
          <w:szCs w:val="21"/>
        </w:rPr>
        <w:t>). Moderating any communication haste will fortify the trust and clarity that are crucial during transformation.</w:t>
      </w:r>
    </w:p>
    <w:p w14:paraId="454A3AE1"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i/>
          <w:iCs/>
          <w:sz w:val="21"/>
          <w:szCs w:val="21"/>
        </w:rPr>
        <w:t>Recommendation Rationale:</w:t>
      </w:r>
      <w:r w:rsidRPr="00DC57A5">
        <w:rPr>
          <w:rFonts w:ascii="Segoe UI" w:hAnsi="Segoe UI" w:cs="Segoe UI"/>
          <w:sz w:val="21"/>
          <w:szCs w:val="21"/>
        </w:rPr>
        <w:t xml:space="preserve"> These “do less” recommendations target small but meaningful adjustments to Employee A’s approach. By </w:t>
      </w:r>
      <w:r w:rsidRPr="00DC57A5">
        <w:rPr>
          <w:rFonts w:ascii="Segoe UI" w:hAnsi="Segoe UI" w:cs="Segoe UI"/>
          <w:b/>
          <w:bCs/>
          <w:sz w:val="21"/>
          <w:szCs w:val="21"/>
        </w:rPr>
        <w:t>not overloading himself</w:t>
      </w:r>
      <w:r w:rsidRPr="00DC57A5">
        <w:rPr>
          <w:rFonts w:ascii="Segoe UI" w:hAnsi="Segoe UI" w:cs="Segoe UI"/>
          <w:sz w:val="21"/>
          <w:szCs w:val="21"/>
        </w:rPr>
        <w:t xml:space="preserve">, he preserves his effectiveness and well-being (and sets a healthy example in line with the Well-Being Mandate). By </w:t>
      </w:r>
      <w:r w:rsidRPr="00DC57A5">
        <w:rPr>
          <w:rFonts w:ascii="Segoe UI" w:hAnsi="Segoe UI" w:cs="Segoe UI"/>
          <w:b/>
          <w:bCs/>
          <w:sz w:val="21"/>
          <w:szCs w:val="21"/>
        </w:rPr>
        <w:t>avoiding one-size approaches</w:t>
      </w:r>
      <w:r w:rsidRPr="00DC57A5">
        <w:rPr>
          <w:rFonts w:ascii="Segoe UI" w:hAnsi="Segoe UI" w:cs="Segoe UI"/>
          <w:sz w:val="21"/>
          <w:szCs w:val="21"/>
        </w:rPr>
        <w:t xml:space="preserve">, he </w:t>
      </w:r>
      <w:proofErr w:type="spellStart"/>
      <w:r w:rsidRPr="00DC57A5">
        <w:rPr>
          <w:rFonts w:ascii="Segoe UI" w:hAnsi="Segoe UI" w:cs="Segoe UI"/>
          <w:sz w:val="21"/>
          <w:szCs w:val="21"/>
        </w:rPr>
        <w:t>honors</w:t>
      </w:r>
      <w:proofErr w:type="spellEnd"/>
      <w:r w:rsidRPr="00DC57A5">
        <w:rPr>
          <w:rFonts w:ascii="Segoe UI" w:hAnsi="Segoe UI" w:cs="Segoe UI"/>
          <w:sz w:val="21"/>
          <w:szCs w:val="21"/>
        </w:rPr>
        <w:t xml:space="preserve"> the diversity within TPC and minimizes resistance (especially crucial as TPC grows internationally). And by </w:t>
      </w:r>
      <w:r w:rsidRPr="00DC57A5">
        <w:rPr>
          <w:rFonts w:ascii="Segoe UI" w:hAnsi="Segoe UI" w:cs="Segoe UI"/>
          <w:b/>
          <w:bCs/>
          <w:sz w:val="21"/>
          <w:szCs w:val="21"/>
        </w:rPr>
        <w:t>eliminating minor communication lapses</w:t>
      </w:r>
      <w:r w:rsidRPr="00DC57A5">
        <w:rPr>
          <w:rFonts w:ascii="Segoe UI" w:hAnsi="Segoe UI" w:cs="Segoe UI"/>
          <w:sz w:val="21"/>
          <w:szCs w:val="21"/>
        </w:rPr>
        <w:t xml:space="preserve">, he maintains the high credibility he’s established. These are refinements on an already strong foundation – addressing them will remove potential friction points that could otherwise slow the transformation or diminish its impact. In short, </w:t>
      </w:r>
      <w:proofErr w:type="spellStart"/>
      <w:r w:rsidRPr="00DC57A5">
        <w:rPr>
          <w:rFonts w:ascii="Segoe UI" w:hAnsi="Segoe UI" w:cs="Segoe UI"/>
          <w:sz w:val="21"/>
          <w:szCs w:val="21"/>
        </w:rPr>
        <w:t>dialing</w:t>
      </w:r>
      <w:proofErr w:type="spellEnd"/>
      <w:r w:rsidRPr="00DC57A5">
        <w:rPr>
          <w:rFonts w:ascii="Segoe UI" w:hAnsi="Segoe UI" w:cs="Segoe UI"/>
          <w:sz w:val="21"/>
          <w:szCs w:val="21"/>
        </w:rPr>
        <w:t xml:space="preserve"> back these tendencies will streamline execution and enhance stakeholder buy-in as Employee A leads TPC into the next phase of change.</w:t>
      </w:r>
    </w:p>
    <w:p w14:paraId="4BC1ADFF" w14:textId="77777777" w:rsidR="00DC57A5" w:rsidRPr="00DC57A5" w:rsidRDefault="00977BB2" w:rsidP="00DC57A5">
      <w:pPr>
        <w:spacing w:line="300" w:lineRule="atLeast"/>
        <w:rPr>
          <w:rFonts w:ascii="Segoe UI" w:hAnsi="Segoe UI" w:cs="Segoe UI"/>
          <w:sz w:val="21"/>
          <w:szCs w:val="21"/>
        </w:rPr>
      </w:pPr>
      <w:r>
        <w:rPr>
          <w:rFonts w:ascii="Segoe UI" w:hAnsi="Segoe UI" w:cs="Segoe UI"/>
          <w:sz w:val="21"/>
          <w:szCs w:val="21"/>
        </w:rPr>
        <w:pict w14:anchorId="23166587">
          <v:rect id="_x0000_i1036" style="width:0;height:1.5pt" o:hralign="center" o:hrstd="t" o:hr="t" fillcolor="#a0a0a0" stroked="f"/>
        </w:pict>
      </w:r>
    </w:p>
    <w:p w14:paraId="603CDB76" w14:textId="77777777" w:rsidR="00DC57A5" w:rsidRPr="00DC57A5" w:rsidRDefault="00DC57A5" w:rsidP="00DC57A5">
      <w:pPr>
        <w:spacing w:before="100" w:beforeAutospacing="1" w:after="100" w:afterAutospacing="1" w:line="300" w:lineRule="atLeast"/>
        <w:outlineLvl w:val="1"/>
        <w:rPr>
          <w:rFonts w:ascii="Segoe UI" w:hAnsi="Segoe UI" w:cs="Segoe UI"/>
          <w:b/>
          <w:bCs/>
          <w:sz w:val="36"/>
          <w:szCs w:val="36"/>
        </w:rPr>
      </w:pPr>
      <w:r w:rsidRPr="00DC57A5">
        <w:rPr>
          <w:rFonts w:ascii="Segoe UI" w:hAnsi="Segoe UI" w:cs="Segoe UI"/>
          <w:b/>
          <w:bCs/>
          <w:sz w:val="36"/>
          <w:szCs w:val="36"/>
        </w:rPr>
        <w:t>Focus Areas to Develop – Build New Skills and Capacity</w:t>
      </w:r>
    </w:p>
    <w:p w14:paraId="19BC372E"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1. Balancing Strategic Focus with Detail – Prioritization Skills:</w:t>
      </w:r>
      <w:r w:rsidRPr="00DC57A5">
        <w:rPr>
          <w:rFonts w:ascii="Segoe UI" w:hAnsi="Segoe UI" w:cs="Segoe UI"/>
          <w:sz w:val="21"/>
          <w:szCs w:val="21"/>
        </w:rPr>
        <w:t xml:space="preserve"> As TPC’s transformation deepens, Employee A would benefit from further honing his </w:t>
      </w:r>
      <w:r w:rsidRPr="00DC57A5">
        <w:rPr>
          <w:rFonts w:ascii="Segoe UI" w:hAnsi="Segoe UI" w:cs="Segoe UI"/>
          <w:b/>
          <w:bCs/>
          <w:sz w:val="21"/>
          <w:szCs w:val="21"/>
        </w:rPr>
        <w:t>strategic prioritization</w:t>
      </w:r>
      <w:r w:rsidRPr="00DC57A5">
        <w:rPr>
          <w:rFonts w:ascii="Segoe UI" w:hAnsi="Segoe UI" w:cs="Segoe UI"/>
          <w:sz w:val="21"/>
          <w:szCs w:val="21"/>
        </w:rPr>
        <w:t xml:space="preserve"> – deciding where to invest his time and the organization’s energy for maximum impact. In 2025 he launched multiple major initiatives (AI systems, culture programs, process overhauls) with great success. However, managing so many concurrent projects required constant context-switching. Developing a sharper prioritization lens will help Employee A sequence initiatives optimally and ensure each gets adequate follow-through. One aspect of this is learning when to say “not now” to good ideas. For example, both the new </w:t>
      </w:r>
      <w:proofErr w:type="spellStart"/>
      <w:r w:rsidRPr="00DC57A5">
        <w:rPr>
          <w:rFonts w:ascii="Segoe UI" w:hAnsi="Segoe UI" w:cs="Segoe UI"/>
          <w:sz w:val="21"/>
          <w:szCs w:val="21"/>
        </w:rPr>
        <w:t>ePCG</w:t>
      </w:r>
      <w:proofErr w:type="spellEnd"/>
      <w:r w:rsidRPr="00DC57A5">
        <w:rPr>
          <w:rFonts w:ascii="Segoe UI" w:hAnsi="Segoe UI" w:cs="Segoe UI"/>
          <w:sz w:val="21"/>
          <w:szCs w:val="21"/>
        </w:rPr>
        <w:t xml:space="preserve"> system and 360 feedback were rolled out in Q4 2025, a heavy load for P&amp;O and leaders to absorb. While both were accomplished, it taxed the organization’s change capacity. In future, Employee A might schedule large initiatives with more buffer or pilot them in smaller groups first. Another aspect is focusing on </w:t>
      </w:r>
      <w:r w:rsidRPr="00DC57A5">
        <w:rPr>
          <w:rFonts w:ascii="Segoe UI" w:hAnsi="Segoe UI" w:cs="Segoe UI"/>
          <w:i/>
          <w:iCs/>
          <w:sz w:val="21"/>
          <w:szCs w:val="21"/>
        </w:rPr>
        <w:t>his</w:t>
      </w:r>
      <w:r w:rsidRPr="00DC57A5">
        <w:rPr>
          <w:rFonts w:ascii="Segoe UI" w:hAnsi="Segoe UI" w:cs="Segoe UI"/>
          <w:sz w:val="21"/>
          <w:szCs w:val="21"/>
        </w:rPr>
        <w:t xml:space="preserve"> highest-value contributions. Employee A has deep knowledge and often got involved in fine details (drafting decks, crafting emails, facilitating workshops). Developing the skill to step back (and let others handle details) ties to prioritization: he should aim to spend the bulk of his time where he uniquely adds value – e.g. shaping vision, removing roadblocks, engaging senior stakeholders – and less on tasks that others could do 80% as well. By elevating his vantage point, he can better see which efforts truly drive TPC’s strategic OKRs versus which might be side quests. This might involve using tools or frameworks (he could apply an 80/20 analysis or an Eisenhower matrix for urgent/important tasks) to decide his focus weekly. The </w:t>
      </w:r>
      <w:r w:rsidRPr="00DC57A5">
        <w:rPr>
          <w:rFonts w:ascii="Segoe UI" w:hAnsi="Segoe UI" w:cs="Segoe UI"/>
          <w:b/>
          <w:bCs/>
          <w:sz w:val="21"/>
          <w:szCs w:val="21"/>
        </w:rPr>
        <w:t>outcome</w:t>
      </w:r>
      <w:r w:rsidRPr="00DC57A5">
        <w:rPr>
          <w:rFonts w:ascii="Segoe UI" w:hAnsi="Segoe UI" w:cs="Segoe UI"/>
          <w:sz w:val="21"/>
          <w:szCs w:val="21"/>
        </w:rPr>
        <w:t xml:space="preserve"> of strengthening prioritization will be a more sustainable transformation cadence. Key projects will get done not just fast, but with depth and quality, and Employee A will have bandwidth to anticipate next steps (rather than constantly playing catch-up on multiple fronts). It will also reduce stress on his team by avoiding unnecessary firefighting. In essence, developing this skill helps Employee A move from being an excellent project initiator to an excellent </w:t>
      </w:r>
      <w:r w:rsidRPr="00DC57A5">
        <w:rPr>
          <w:rFonts w:ascii="Segoe UI" w:hAnsi="Segoe UI" w:cs="Segoe UI"/>
          <w:i/>
          <w:iCs/>
          <w:sz w:val="21"/>
          <w:szCs w:val="21"/>
        </w:rPr>
        <w:t>program orchestrator</w:t>
      </w:r>
      <w:r w:rsidRPr="00DC57A5">
        <w:rPr>
          <w:rFonts w:ascii="Segoe UI" w:hAnsi="Segoe UI" w:cs="Segoe UI"/>
          <w:sz w:val="21"/>
          <w:szCs w:val="21"/>
        </w:rPr>
        <w:t xml:space="preserve"> – conducting the symphony of change with timing and harmony. Given evidence like his email acknowledging bandwidth limits</w:t>
      </w:r>
      <w:hyperlink r:id="rId278" w:history="1">
        <w:r w:rsidRPr="00DC57A5">
          <w:rPr>
            <w:rFonts w:ascii="Segoe UI" w:hAnsi="Segoe UI" w:cs="Segoe UI"/>
            <w:color w:val="464FEB"/>
            <w:sz w:val="21"/>
            <w:szCs w:val="21"/>
          </w:rPr>
          <w:t>[2]</w:t>
        </w:r>
      </w:hyperlink>
      <w:r w:rsidRPr="00DC57A5">
        <w:rPr>
          <w:rFonts w:ascii="Segoe UI" w:hAnsi="Segoe UI" w:cs="Segoe UI"/>
          <w:sz w:val="21"/>
          <w:szCs w:val="21"/>
        </w:rPr>
        <w:t xml:space="preserve">, it’s clear Employee A is aware of this need; through conscious practice in 2026, he can improve further. TPC’s leadership culture, which values </w:t>
      </w:r>
      <w:r w:rsidRPr="00DC57A5">
        <w:rPr>
          <w:rFonts w:ascii="Segoe UI" w:hAnsi="Segoe UI" w:cs="Segoe UI"/>
          <w:i/>
          <w:iCs/>
          <w:sz w:val="21"/>
          <w:szCs w:val="21"/>
        </w:rPr>
        <w:t>“Efficiency and effectiveness”</w:t>
      </w:r>
      <w:hyperlink r:id="rId279" w:history="1">
        <w:r w:rsidRPr="00DC57A5">
          <w:rPr>
            <w:rFonts w:ascii="Segoe UI" w:hAnsi="Segoe UI" w:cs="Segoe UI"/>
            <w:color w:val="464FEB"/>
            <w:sz w:val="21"/>
            <w:szCs w:val="21"/>
          </w:rPr>
          <w:t>[11]</w:t>
        </w:r>
      </w:hyperlink>
      <w:hyperlink r:id="rId280" w:history="1">
        <w:r w:rsidRPr="00DC57A5">
          <w:rPr>
            <w:rFonts w:ascii="Segoe UI" w:hAnsi="Segoe UI" w:cs="Segoe UI"/>
            <w:color w:val="464FEB"/>
            <w:sz w:val="21"/>
            <w:szCs w:val="21"/>
          </w:rPr>
          <w:t>[11]</w:t>
        </w:r>
      </w:hyperlink>
      <w:r w:rsidRPr="00DC57A5">
        <w:rPr>
          <w:rFonts w:ascii="Segoe UI" w:hAnsi="Segoe UI" w:cs="Segoe UI"/>
          <w:sz w:val="21"/>
          <w:szCs w:val="21"/>
        </w:rPr>
        <w:t xml:space="preserve">, will be well-served by Employee A sharpening his focus on the most impactful </w:t>
      </w:r>
      <w:proofErr w:type="spellStart"/>
      <w:r w:rsidRPr="00DC57A5">
        <w:rPr>
          <w:rFonts w:ascii="Segoe UI" w:hAnsi="Segoe UI" w:cs="Segoe UI"/>
          <w:sz w:val="21"/>
          <w:szCs w:val="21"/>
        </w:rPr>
        <w:t>endeavors</w:t>
      </w:r>
      <w:proofErr w:type="spellEnd"/>
      <w:r w:rsidRPr="00DC57A5">
        <w:rPr>
          <w:rFonts w:ascii="Segoe UI" w:hAnsi="Segoe UI" w:cs="Segoe UI"/>
          <w:sz w:val="21"/>
          <w:szCs w:val="21"/>
        </w:rPr>
        <w:t>.</w:t>
      </w:r>
    </w:p>
    <w:p w14:paraId="649D961B"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2. Cross-Cultural and Cross-Organizational Integration:</w:t>
      </w:r>
      <w:r w:rsidRPr="00DC57A5">
        <w:rPr>
          <w:rFonts w:ascii="Segoe UI" w:hAnsi="Segoe UI" w:cs="Segoe UI"/>
          <w:sz w:val="21"/>
          <w:szCs w:val="21"/>
        </w:rPr>
        <w:t xml:space="preserve"> With TPC’s workforce spread across Singapore, Thailand, China, and beyond, Employee A should develop even stronger skills in </w:t>
      </w:r>
      <w:r w:rsidRPr="00DC57A5">
        <w:rPr>
          <w:rFonts w:ascii="Segoe UI" w:hAnsi="Segoe UI" w:cs="Segoe UI"/>
          <w:b/>
          <w:bCs/>
          <w:sz w:val="21"/>
          <w:szCs w:val="21"/>
        </w:rPr>
        <w:t>bridging cultural and organizational gaps</w:t>
      </w:r>
      <w:r w:rsidRPr="00DC57A5">
        <w:rPr>
          <w:rFonts w:ascii="Segoe UI" w:hAnsi="Segoe UI" w:cs="Segoe UI"/>
          <w:sz w:val="21"/>
          <w:szCs w:val="21"/>
        </w:rPr>
        <w:t>. 2025 highlighted some silo challenges – for instance, the TPC China office felt somewhat isolated, as seen in feedback about limited interaction with other units</w:t>
      </w:r>
      <w:hyperlink r:id="rId281" w:history="1">
        <w:r w:rsidRPr="00DC57A5">
          <w:rPr>
            <w:rFonts w:ascii="Segoe UI" w:hAnsi="Segoe UI" w:cs="Segoe UI"/>
            <w:color w:val="464FEB"/>
            <w:sz w:val="21"/>
            <w:szCs w:val="21"/>
          </w:rPr>
          <w:t>[7]</w:t>
        </w:r>
      </w:hyperlink>
      <w:r w:rsidRPr="00DC57A5">
        <w:rPr>
          <w:rFonts w:ascii="Segoe UI" w:hAnsi="Segoe UI" w:cs="Segoe UI"/>
          <w:sz w:val="21"/>
          <w:szCs w:val="21"/>
        </w:rPr>
        <w:t xml:space="preserve">. Employee A can take a lead in healing these divides by improving his cultural fluency and outreach. One development approach is for Employee A to spend more time “on the ground” in various locations. In 2025, much interaction was virtual; in 2026, he might travel to key sites (e.g. host an Octave leadership roundtable in Shanghai, or a Good Management Workshop in Bangkok) to directly engage local teams. This face-to-face exposure would help him learn nuances of communication and business practice in each context – enhancing his effectiveness when rolling out group initiatives. It also shows respect and interest, building trust. Another skill is adapting content to local cultures. Employee A could develop a playbook for tailoring programs: e.g., ensuring translation of materials into local languages or integrating local case studies into the Quantum Leadership curriculum. Since he’s very strong in conveying TPC’s core values, the next step is to </w:t>
      </w:r>
      <w:r w:rsidRPr="00DC57A5">
        <w:rPr>
          <w:rFonts w:ascii="Segoe UI" w:hAnsi="Segoe UI" w:cs="Segoe UI"/>
          <w:b/>
          <w:bCs/>
          <w:sz w:val="21"/>
          <w:szCs w:val="21"/>
        </w:rPr>
        <w:t>meet employees where they are</w:t>
      </w:r>
      <w:r w:rsidRPr="00DC57A5">
        <w:rPr>
          <w:rFonts w:ascii="Segoe UI" w:hAnsi="Segoe UI" w:cs="Segoe UI"/>
          <w:sz w:val="21"/>
          <w:szCs w:val="21"/>
        </w:rPr>
        <w:t xml:space="preserve"> culturally, so that those values resonate universally. A concrete example: for the China team who may not speak up as readily in large forums, Employee A might implement anonymous feedback channels or smaller focus groups to gather their input comfortably. Developing this sensitivity will increase alignment – employees will feel “TPC’s transformation considers us.” Additionally, Employee A can mentor local champions (perhaps designate a China-based “transformation ambassador”) to carry the torch in each region. Building that network of change agents requires coaching and empowerment – skill areas that Employee A already has, but can apply more globally. The evidence of misalignment (like Qiu Peng’s comment) suggests room for growth in this domain. By focusing on it, Employee A will strengthen the </w:t>
      </w:r>
      <w:r w:rsidRPr="00DC57A5">
        <w:rPr>
          <w:rFonts w:ascii="Segoe UI" w:hAnsi="Segoe UI" w:cs="Segoe UI"/>
          <w:i/>
          <w:iCs/>
          <w:sz w:val="21"/>
          <w:szCs w:val="21"/>
        </w:rPr>
        <w:t>Collaborative and Worldly mindsets</w:t>
      </w:r>
      <w:r w:rsidRPr="00DC57A5">
        <w:rPr>
          <w:rFonts w:ascii="Segoe UI" w:hAnsi="Segoe UI" w:cs="Segoe UI"/>
          <w:sz w:val="21"/>
          <w:szCs w:val="21"/>
        </w:rPr>
        <w:t xml:space="preserve"> in himself and others, ensuring that TPC’s culture change is cohesive across borders. This development area directly supports TPC’s strategic pillar of being a unified Purpose-Led organization: if all offices, from Singapore HQ to far-flung operations, move in sync, the transformation’s impact multiplies. In sum, Employee A should work on being not just a </w:t>
      </w:r>
      <w:r w:rsidRPr="00DC57A5">
        <w:rPr>
          <w:rFonts w:ascii="Segoe UI" w:hAnsi="Segoe UI" w:cs="Segoe UI"/>
          <w:i/>
          <w:iCs/>
          <w:sz w:val="21"/>
          <w:szCs w:val="21"/>
        </w:rPr>
        <w:t>group</w:t>
      </w:r>
      <w:r w:rsidRPr="00DC57A5">
        <w:rPr>
          <w:rFonts w:ascii="Segoe UI" w:hAnsi="Segoe UI" w:cs="Segoe UI"/>
          <w:sz w:val="21"/>
          <w:szCs w:val="21"/>
        </w:rPr>
        <w:t xml:space="preserve"> leader but a </w:t>
      </w:r>
      <w:r w:rsidRPr="00DC57A5">
        <w:rPr>
          <w:rFonts w:ascii="Segoe UI" w:hAnsi="Segoe UI" w:cs="Segoe UI"/>
          <w:i/>
          <w:iCs/>
          <w:sz w:val="21"/>
          <w:szCs w:val="21"/>
        </w:rPr>
        <w:t>global</w:t>
      </w:r>
      <w:r w:rsidRPr="00DC57A5">
        <w:rPr>
          <w:rFonts w:ascii="Segoe UI" w:hAnsi="Segoe UI" w:cs="Segoe UI"/>
          <w:sz w:val="21"/>
          <w:szCs w:val="21"/>
        </w:rPr>
        <w:t xml:space="preserve"> leader – attuned to different environments and adept at knitting them together into one TPC fabric.</w:t>
      </w:r>
    </w:p>
    <w:p w14:paraId="0C948512"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3. Communication Clarity and Influence Upwards &amp; Outwards:</w:t>
      </w:r>
      <w:r w:rsidRPr="00DC57A5">
        <w:rPr>
          <w:rFonts w:ascii="Segoe UI" w:hAnsi="Segoe UI" w:cs="Segoe UI"/>
          <w:sz w:val="21"/>
          <w:szCs w:val="21"/>
        </w:rPr>
        <w:t xml:space="preserve"> While Employee A is an effective communicator, developing an even crisper communication style – especially for senior and external audiences – will enhance his leadership presence. Internally, he often provided extensive detail (which helped execution), but as he operates more at the executive level, </w:t>
      </w:r>
      <w:r w:rsidRPr="00DC57A5">
        <w:rPr>
          <w:rFonts w:ascii="Segoe UI" w:hAnsi="Segoe UI" w:cs="Segoe UI"/>
          <w:b/>
          <w:bCs/>
          <w:sz w:val="21"/>
          <w:szCs w:val="21"/>
        </w:rPr>
        <w:t>concise, impact-focused messaging</w:t>
      </w:r>
      <w:r w:rsidRPr="00DC57A5">
        <w:rPr>
          <w:rFonts w:ascii="Segoe UI" w:hAnsi="Segoe UI" w:cs="Segoe UI"/>
          <w:sz w:val="21"/>
          <w:szCs w:val="21"/>
        </w:rPr>
        <w:t xml:space="preserve"> will be key. In 2025, when Tang B.W. revised the 360 email, the final version was straightforward and reassuring</w:t>
      </w:r>
      <w:hyperlink r:id="rId282" w:history="1">
        <w:r w:rsidRPr="00DC57A5">
          <w:rPr>
            <w:rFonts w:ascii="Segoe UI" w:hAnsi="Segoe UI" w:cs="Segoe UI"/>
            <w:color w:val="464FEB"/>
            <w:sz w:val="21"/>
            <w:szCs w:val="21"/>
          </w:rPr>
          <w:t>[8]</w:t>
        </w:r>
      </w:hyperlink>
      <w:r w:rsidRPr="00DC57A5">
        <w:rPr>
          <w:rFonts w:ascii="Segoe UI" w:hAnsi="Segoe UI" w:cs="Segoe UI"/>
          <w:sz w:val="21"/>
          <w:szCs w:val="21"/>
        </w:rPr>
        <w:t xml:space="preserve">. Employee A can take a cue from this in his own writing: continue to simplify complex ideas into clear, digestible points for busy leaders. For instance, instead of a long email on a new policy, lead with a bullet summary of “What &amp; Why” and then offer details as needed. Developing this skill will save time and prevent miscommunications. Moreover, as transformation matures, Employee A will be reporting results to high-level stakeholders (Board members, the Tsao family, perhaps external partners). </w:t>
      </w:r>
      <w:r w:rsidRPr="00DC57A5">
        <w:rPr>
          <w:rFonts w:ascii="Segoe UI" w:hAnsi="Segoe UI" w:cs="Segoe UI"/>
          <w:b/>
          <w:bCs/>
          <w:sz w:val="21"/>
          <w:szCs w:val="21"/>
        </w:rPr>
        <w:t>Refining his executive communication</w:t>
      </w:r>
      <w:r w:rsidRPr="00DC57A5">
        <w:rPr>
          <w:rFonts w:ascii="Segoe UI" w:hAnsi="Segoe UI" w:cs="Segoe UI"/>
          <w:sz w:val="21"/>
          <w:szCs w:val="21"/>
        </w:rPr>
        <w:t xml:space="preserve"> – tailoring the narrative to what matters to that audience (risk, ROI, strategic alignment) – is a growth area. He might seek mentorship or feedback on his presentations to the Chairman or Board, to ensure he’s hitting the mark. Since Employee A is naturally enthusiastic and detailed, learning to underscore just the strategic takeaways in such forums will increase his influence. Another communication aspect is upward influence: Employee A could more assertively advocate for what the transformation needs from top leadership. In 2025, he did raise issues like data silos to Niap and got support. Continuing to develop the courage and skill to push for necessary resources or policy changes at the top is vital. As he gains confidence from 2025’s wins, he can be an even stronger </w:t>
      </w:r>
      <w:r w:rsidRPr="00DC57A5">
        <w:rPr>
          <w:rFonts w:ascii="Segoe UI" w:hAnsi="Segoe UI" w:cs="Segoe UI"/>
          <w:i/>
          <w:iCs/>
          <w:sz w:val="21"/>
          <w:szCs w:val="21"/>
        </w:rPr>
        <w:t>voice of transformation</w:t>
      </w:r>
      <w:r w:rsidRPr="00DC57A5">
        <w:rPr>
          <w:rFonts w:ascii="Segoe UI" w:hAnsi="Segoe UI" w:cs="Segoe UI"/>
          <w:sz w:val="21"/>
          <w:szCs w:val="21"/>
        </w:rPr>
        <w:t xml:space="preserve"> in the C-suite. Externally, Employee A should develop his thought leadership profile, building on connections he made. This might involve writing a published article or speaking at a conference about TPC’s journey – communicating TPC’s story to an outside audience in a compelling way. It’s partly personal branding development and partly advancing TPC’s influence. Employee A’s authenticity and passion give him a strong foundation; honing the craft of storytelling for broader audiences will amplify the impact of TPC’s purpose (and could attract talent or partners). The benefit of excelling in communication influence is clear: decisions will come easier, stakeholders will rally faster, and TPC’s narrative will be heard and embraced widely. Internally, everyone from the Chairman to frontline staff will know “exactly where we’re going and why,” cutting down inertia. Externally, TPC will gain recognition as a transformation leader, reflecting well on Employee A’s leadership. Given that communication is a core competency in TPC’s quantum leadership attributes</w:t>
      </w:r>
      <w:hyperlink r:id="rId283" w:history="1">
        <w:r w:rsidRPr="00DC57A5">
          <w:rPr>
            <w:rFonts w:ascii="Segoe UI" w:hAnsi="Segoe UI" w:cs="Segoe UI"/>
            <w:color w:val="464FEB"/>
            <w:sz w:val="21"/>
            <w:szCs w:val="21"/>
          </w:rPr>
          <w:t>[11]</w:t>
        </w:r>
      </w:hyperlink>
      <w:r w:rsidRPr="00DC57A5">
        <w:rPr>
          <w:rFonts w:ascii="Segoe UI" w:hAnsi="Segoe UI" w:cs="Segoe UI"/>
          <w:sz w:val="21"/>
          <w:szCs w:val="21"/>
        </w:rPr>
        <w:t>, advancing from good to outstanding in this area is a worthy development goal for Employee A.</w:t>
      </w:r>
    </w:p>
    <w:p w14:paraId="38C1AF4C"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4. Sustaining Personal Well-Being and Resilience:</w:t>
      </w:r>
      <w:r w:rsidRPr="00DC57A5">
        <w:rPr>
          <w:rFonts w:ascii="Segoe UI" w:hAnsi="Segoe UI" w:cs="Segoe UI"/>
          <w:sz w:val="21"/>
          <w:szCs w:val="21"/>
        </w:rPr>
        <w:t xml:space="preserve"> Lastly, an often overlooked area of development for change leaders is their own well-being. Employee A is a champion of the Well-Being Mandate; continuing to </w:t>
      </w:r>
      <w:r w:rsidRPr="00DC57A5">
        <w:rPr>
          <w:rFonts w:ascii="Segoe UI" w:hAnsi="Segoe UI" w:cs="Segoe UI"/>
          <w:i/>
          <w:iCs/>
          <w:sz w:val="21"/>
          <w:szCs w:val="21"/>
        </w:rPr>
        <w:t>apply those principles to himself</w:t>
      </w:r>
      <w:r w:rsidRPr="00DC57A5">
        <w:rPr>
          <w:rFonts w:ascii="Segoe UI" w:hAnsi="Segoe UI" w:cs="Segoe UI"/>
          <w:sz w:val="21"/>
          <w:szCs w:val="21"/>
        </w:rPr>
        <w:t xml:space="preserve"> will ensure he remains effective. 2025 was an intense year – Employee A managed it with grace, but the pace was unrelenting. It’s important he deliberately cultivates resilience habits: regular recovery time, mindfulness (which he practices), and drawing boundaries to avoid chronic overwork. Developing this isn’t about attending another program, but about daily discipline – e.g., scheduling small breaks even on high-pressure days, delegating when at capacity (as discussed), and leaning on peers for support instead of carrying emotional burdens alone. By strengthening his personal resilience, Employee A will be better equipped to handle the pressures of 2026, which may include unexpected challenges. Moreover, he role-models leadership </w:t>
      </w:r>
      <w:proofErr w:type="spellStart"/>
      <w:r w:rsidRPr="00DC57A5">
        <w:rPr>
          <w:rFonts w:ascii="Segoe UI" w:hAnsi="Segoe UI" w:cs="Segoe UI"/>
          <w:sz w:val="21"/>
          <w:szCs w:val="21"/>
        </w:rPr>
        <w:t>behaviors</w:t>
      </w:r>
      <w:proofErr w:type="spellEnd"/>
      <w:r w:rsidRPr="00DC57A5">
        <w:rPr>
          <w:rFonts w:ascii="Segoe UI" w:hAnsi="Segoe UI" w:cs="Segoe UI"/>
          <w:sz w:val="21"/>
          <w:szCs w:val="21"/>
        </w:rPr>
        <w:t>; if he visibly balances performance with self-care, it signals to others that it’s acceptable (even encouraged) to do the same. This can propagate a healthier high-performance culture at TPC. In concrete terms, Employee A might set a development goal like “take at least one unplugged long weekend each quarter” or “engage in a coaching relationship for myself” – giving him space to reflect and recharge. The outcome will be a fresher, sharper mind that can spot creative solutions (many of his innovative ideas likely came when he had a moment to think outside daily tasks). It also reduces risk of burnout that could derail continuity. Given his pivotal role, maintaining his well-being is indirectly a safeguard for the transformation’s continuity. TPC has invested in leadership well-being through programs like MLP; as a graduate and mentor of such programs, Employee A should continue living those lessons. In summary, developing an even more resilient self is both a personal and professional investment that will pay dividends in sustained leadership excellence.</w:t>
      </w:r>
    </w:p>
    <w:p w14:paraId="796ED371"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i/>
          <w:iCs/>
          <w:sz w:val="21"/>
          <w:szCs w:val="21"/>
        </w:rPr>
        <w:t>Recommendation Rationale:</w:t>
      </w:r>
      <w:r w:rsidRPr="00DC57A5">
        <w:rPr>
          <w:rFonts w:ascii="Segoe UI" w:hAnsi="Segoe UI" w:cs="Segoe UI"/>
          <w:sz w:val="21"/>
          <w:szCs w:val="21"/>
        </w:rPr>
        <w:t xml:space="preserve"> These development areas equip Employee A with a higher level of leadership mastery to match TPC’s evolving needs. </w:t>
      </w:r>
      <w:r w:rsidRPr="00DC57A5">
        <w:rPr>
          <w:rFonts w:ascii="Segoe UI" w:hAnsi="Segoe UI" w:cs="Segoe UI"/>
          <w:b/>
          <w:bCs/>
          <w:sz w:val="21"/>
          <w:szCs w:val="21"/>
        </w:rPr>
        <w:t>Prioritization</w:t>
      </w:r>
      <w:r w:rsidRPr="00DC57A5">
        <w:rPr>
          <w:rFonts w:ascii="Segoe UI" w:hAnsi="Segoe UI" w:cs="Segoe UI"/>
          <w:sz w:val="21"/>
          <w:szCs w:val="21"/>
        </w:rPr>
        <w:t xml:space="preserve"> ensures he directs efforts where they matter most, avoiding dilution of impact. </w:t>
      </w:r>
      <w:r w:rsidRPr="00DC57A5">
        <w:rPr>
          <w:rFonts w:ascii="Segoe UI" w:hAnsi="Segoe UI" w:cs="Segoe UI"/>
          <w:b/>
          <w:bCs/>
          <w:sz w:val="21"/>
          <w:szCs w:val="21"/>
        </w:rPr>
        <w:t>Cross-cultural integration</w:t>
      </w:r>
      <w:r w:rsidRPr="00DC57A5">
        <w:rPr>
          <w:rFonts w:ascii="Segoe UI" w:hAnsi="Segoe UI" w:cs="Segoe UI"/>
          <w:sz w:val="21"/>
          <w:szCs w:val="21"/>
        </w:rPr>
        <w:t xml:space="preserve"> skills will knit TPC’s diverse operations into one coherent force – vital as the company grows regionally. </w:t>
      </w:r>
      <w:r w:rsidRPr="00DC57A5">
        <w:rPr>
          <w:rFonts w:ascii="Segoe UI" w:hAnsi="Segoe UI" w:cs="Segoe UI"/>
          <w:b/>
          <w:bCs/>
          <w:sz w:val="21"/>
          <w:szCs w:val="21"/>
        </w:rPr>
        <w:t>Enhanced communication and influence</w:t>
      </w:r>
      <w:r w:rsidRPr="00DC57A5">
        <w:rPr>
          <w:rFonts w:ascii="Segoe UI" w:hAnsi="Segoe UI" w:cs="Segoe UI"/>
          <w:sz w:val="21"/>
          <w:szCs w:val="21"/>
        </w:rPr>
        <w:t xml:space="preserve"> will help secure buy-in and resources from the highest levels and broadcast TPC’s success story more broadly. </w:t>
      </w:r>
      <w:r w:rsidRPr="00DC57A5">
        <w:rPr>
          <w:rFonts w:ascii="Segoe UI" w:hAnsi="Segoe UI" w:cs="Segoe UI"/>
          <w:b/>
          <w:bCs/>
          <w:sz w:val="21"/>
          <w:szCs w:val="21"/>
        </w:rPr>
        <w:t>Personal resilience</w:t>
      </w:r>
      <w:r w:rsidRPr="00DC57A5">
        <w:rPr>
          <w:rFonts w:ascii="Segoe UI" w:hAnsi="Segoe UI" w:cs="Segoe UI"/>
          <w:sz w:val="21"/>
          <w:szCs w:val="21"/>
        </w:rPr>
        <w:t xml:space="preserve"> will underwrite all the above by keeping Employee A at his best. Each area is supported by observations from 2025 (e.g., minor misalignment with China, the need for clearer messaging, heavy workload, etc.) and ties back to TPC’s transformation goals: an aligned, agile, and healthy organization. By actively working on these, Employee A will transition from being the key driver of transformation to the strategic </w:t>
      </w:r>
      <w:r w:rsidRPr="00DC57A5">
        <w:rPr>
          <w:rFonts w:ascii="Segoe UI" w:hAnsi="Segoe UI" w:cs="Segoe UI"/>
          <w:i/>
          <w:iCs/>
          <w:sz w:val="21"/>
          <w:szCs w:val="21"/>
        </w:rPr>
        <w:t>guardian</w:t>
      </w:r>
      <w:r w:rsidRPr="00DC57A5">
        <w:rPr>
          <w:rFonts w:ascii="Segoe UI" w:hAnsi="Segoe UI" w:cs="Segoe UI"/>
          <w:sz w:val="21"/>
          <w:szCs w:val="21"/>
        </w:rPr>
        <w:t xml:space="preserve"> of it – someone who not only drives change, but also uplifts an entire leadership system that can drive change. This evolution in his capabilities is exactly what TPC will need as it enters the next chapter of its journey, ensuring the remarkable progress of 2025 continues unabated and even accelerates.</w:t>
      </w:r>
    </w:p>
    <w:p w14:paraId="2BB29847" w14:textId="77777777" w:rsidR="00DC57A5" w:rsidRPr="00DC57A5" w:rsidRDefault="00977BB2" w:rsidP="00DC57A5">
      <w:pPr>
        <w:spacing w:line="300" w:lineRule="atLeast"/>
        <w:rPr>
          <w:rFonts w:ascii="Segoe UI" w:hAnsi="Segoe UI" w:cs="Segoe UI"/>
          <w:sz w:val="21"/>
          <w:szCs w:val="21"/>
        </w:rPr>
      </w:pPr>
      <w:r>
        <w:rPr>
          <w:rFonts w:ascii="Segoe UI" w:hAnsi="Segoe UI" w:cs="Segoe UI"/>
          <w:sz w:val="21"/>
          <w:szCs w:val="21"/>
        </w:rPr>
        <w:pict w14:anchorId="2D41B15A">
          <v:rect id="_x0000_i1037" style="width:0;height:1.5pt" o:hralign="center" o:hrstd="t" o:hr="t" fillcolor="#a0a0a0" stroked="f"/>
        </w:pict>
      </w:r>
    </w:p>
    <w:p w14:paraId="7D88A9F1" w14:textId="77777777" w:rsidR="00DC57A5" w:rsidRPr="00DC57A5" w:rsidRDefault="00DC57A5" w:rsidP="00DC57A5">
      <w:pPr>
        <w:spacing w:before="100" w:beforeAutospacing="1" w:after="100" w:afterAutospacing="1" w:line="300" w:lineRule="atLeast"/>
        <w:outlineLvl w:val="1"/>
        <w:rPr>
          <w:rFonts w:ascii="Segoe UI" w:hAnsi="Segoe UI" w:cs="Segoe UI"/>
          <w:b/>
          <w:bCs/>
          <w:sz w:val="36"/>
          <w:szCs w:val="36"/>
        </w:rPr>
      </w:pPr>
      <w:r w:rsidRPr="00DC57A5">
        <w:rPr>
          <w:rFonts w:ascii="Segoe UI" w:hAnsi="Segoe UI" w:cs="Segoe UI"/>
          <w:b/>
          <w:bCs/>
          <w:sz w:val="36"/>
          <w:szCs w:val="36"/>
        </w:rPr>
        <w:t>Summary of Recommendations and Impact</w:t>
      </w:r>
    </w:p>
    <w:p w14:paraId="7EEC6DB2"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sz w:val="21"/>
          <w:szCs w:val="21"/>
        </w:rPr>
        <w:t xml:space="preserve">The table below summarizes the development recommendations for Employee A, mapping each to observed 2025 </w:t>
      </w:r>
      <w:proofErr w:type="spellStart"/>
      <w:r w:rsidRPr="00DC57A5">
        <w:rPr>
          <w:rFonts w:ascii="Segoe UI" w:hAnsi="Segoe UI" w:cs="Segoe UI"/>
          <w:sz w:val="21"/>
          <w:szCs w:val="21"/>
        </w:rPr>
        <w:t>behaviors</w:t>
      </w:r>
      <w:proofErr w:type="spellEnd"/>
      <w:r w:rsidRPr="00DC57A5">
        <w:rPr>
          <w:rFonts w:ascii="Segoe UI" w:hAnsi="Segoe UI" w:cs="Segoe UI"/>
          <w:sz w:val="21"/>
          <w:szCs w:val="21"/>
        </w:rPr>
        <w:t xml:space="preserve"> and the potential outcomes if addressed: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5"/>
        <w:gridCol w:w="3028"/>
        <w:gridCol w:w="3753"/>
      </w:tblGrid>
      <w:tr w:rsidR="00DC57A5" w:rsidRPr="00DC57A5" w14:paraId="66F958DF" w14:textId="77777777">
        <w:trPr>
          <w:tblHeader/>
          <w:tblCellSpacing w:w="15" w:type="dxa"/>
        </w:trPr>
        <w:tc>
          <w:tcPr>
            <w:tcW w:w="0" w:type="auto"/>
            <w:vAlign w:val="center"/>
            <w:hideMark/>
          </w:tcPr>
          <w:p w14:paraId="4F393C46" w14:textId="77777777" w:rsidR="00DC57A5" w:rsidRPr="00DC57A5" w:rsidRDefault="00DC57A5" w:rsidP="00DC57A5">
            <w:pPr>
              <w:jc w:val="center"/>
              <w:rPr>
                <w:b/>
                <w:bCs/>
                <w:sz w:val="24"/>
                <w:szCs w:val="24"/>
              </w:rPr>
            </w:pPr>
            <w:r w:rsidRPr="00DC57A5">
              <w:rPr>
                <w:b/>
                <w:bCs/>
                <w:sz w:val="24"/>
                <w:szCs w:val="24"/>
              </w:rPr>
              <w:t>Development Recommendation</w:t>
            </w:r>
          </w:p>
        </w:tc>
        <w:tc>
          <w:tcPr>
            <w:tcW w:w="0" w:type="auto"/>
            <w:vAlign w:val="center"/>
            <w:hideMark/>
          </w:tcPr>
          <w:p w14:paraId="61CA37F2" w14:textId="77777777" w:rsidR="00DC57A5" w:rsidRPr="00DC57A5" w:rsidRDefault="00DC57A5" w:rsidP="00DC57A5">
            <w:pPr>
              <w:jc w:val="center"/>
              <w:rPr>
                <w:b/>
                <w:bCs/>
                <w:sz w:val="24"/>
                <w:szCs w:val="24"/>
              </w:rPr>
            </w:pPr>
            <w:r w:rsidRPr="00DC57A5">
              <w:rPr>
                <w:b/>
                <w:bCs/>
                <w:sz w:val="24"/>
                <w:szCs w:val="24"/>
              </w:rPr>
              <w:t xml:space="preserve">Observed 2025 </w:t>
            </w:r>
            <w:proofErr w:type="spellStart"/>
            <w:r w:rsidRPr="00DC57A5">
              <w:rPr>
                <w:b/>
                <w:bCs/>
                <w:sz w:val="24"/>
                <w:szCs w:val="24"/>
              </w:rPr>
              <w:t>Behavior</w:t>
            </w:r>
            <w:proofErr w:type="spellEnd"/>
          </w:p>
        </w:tc>
        <w:tc>
          <w:tcPr>
            <w:tcW w:w="0" w:type="auto"/>
            <w:vAlign w:val="center"/>
            <w:hideMark/>
          </w:tcPr>
          <w:p w14:paraId="25D13C0C" w14:textId="77777777" w:rsidR="00DC57A5" w:rsidRPr="00DC57A5" w:rsidRDefault="00DC57A5" w:rsidP="00DC57A5">
            <w:pPr>
              <w:jc w:val="center"/>
              <w:rPr>
                <w:b/>
                <w:bCs/>
                <w:sz w:val="24"/>
                <w:szCs w:val="24"/>
              </w:rPr>
            </w:pPr>
            <w:r w:rsidRPr="00DC57A5">
              <w:rPr>
                <w:b/>
                <w:bCs/>
                <w:sz w:val="24"/>
                <w:szCs w:val="24"/>
              </w:rPr>
              <w:t>Potential Outcome if Improved</w:t>
            </w:r>
          </w:p>
        </w:tc>
      </w:tr>
      <w:tr w:rsidR="00DC57A5" w:rsidRPr="00DC57A5" w14:paraId="7670B4C3" w14:textId="77777777">
        <w:trPr>
          <w:tblCellSpacing w:w="15" w:type="dxa"/>
        </w:trPr>
        <w:tc>
          <w:tcPr>
            <w:tcW w:w="0" w:type="auto"/>
            <w:vAlign w:val="center"/>
            <w:hideMark/>
          </w:tcPr>
          <w:p w14:paraId="06D34BEA" w14:textId="77777777" w:rsidR="00DC57A5" w:rsidRPr="00DC57A5" w:rsidRDefault="00DC57A5" w:rsidP="00DC57A5">
            <w:pPr>
              <w:rPr>
                <w:sz w:val="24"/>
                <w:szCs w:val="24"/>
              </w:rPr>
            </w:pPr>
            <w:r w:rsidRPr="00DC57A5">
              <w:rPr>
                <w:b/>
                <w:bCs/>
                <w:sz w:val="24"/>
                <w:szCs w:val="24"/>
              </w:rPr>
              <w:t>Delegate &amp; Empower More</w:t>
            </w:r>
            <w:r w:rsidRPr="00DC57A5">
              <w:rPr>
                <w:sz w:val="24"/>
                <w:szCs w:val="24"/>
              </w:rPr>
              <w:t xml:space="preserve"> </w:t>
            </w:r>
            <w:r w:rsidRPr="00DC57A5">
              <w:rPr>
                <w:sz w:val="24"/>
                <w:szCs w:val="24"/>
              </w:rPr>
              <w:br/>
            </w:r>
            <w:r w:rsidRPr="00DC57A5">
              <w:rPr>
                <w:i/>
                <w:iCs/>
                <w:sz w:val="24"/>
                <w:szCs w:val="24"/>
              </w:rPr>
              <w:t>Increase team members’ responsibilities and decision-making authority.</w:t>
            </w:r>
          </w:p>
        </w:tc>
        <w:tc>
          <w:tcPr>
            <w:tcW w:w="0" w:type="auto"/>
            <w:vAlign w:val="center"/>
            <w:hideMark/>
          </w:tcPr>
          <w:p w14:paraId="73140EDF" w14:textId="77777777" w:rsidR="00DC57A5" w:rsidRPr="00DC57A5" w:rsidRDefault="00DC57A5" w:rsidP="00DC57A5">
            <w:pPr>
              <w:rPr>
                <w:sz w:val="24"/>
                <w:szCs w:val="24"/>
              </w:rPr>
            </w:pPr>
            <w:r w:rsidRPr="00DC57A5">
              <w:rPr>
                <w:sz w:val="24"/>
                <w:szCs w:val="24"/>
              </w:rPr>
              <w:t>– Expanded Facilitator A’s scope to deputize him, showing trust in her abilities</w:t>
            </w:r>
            <w:hyperlink r:id="rId284" w:history="1">
              <w:r w:rsidRPr="00DC57A5">
                <w:rPr>
                  <w:color w:val="464FEB"/>
                  <w:sz w:val="24"/>
                  <w:szCs w:val="24"/>
                </w:rPr>
                <w:t>[1]</w:t>
              </w:r>
            </w:hyperlink>
            <w:r w:rsidRPr="00DC57A5">
              <w:rPr>
                <w:sz w:val="24"/>
                <w:szCs w:val="24"/>
              </w:rPr>
              <w:t>.</w:t>
            </w:r>
            <w:r w:rsidRPr="00DC57A5">
              <w:rPr>
                <w:sz w:val="24"/>
                <w:szCs w:val="24"/>
              </w:rPr>
              <w:br/>
              <w:t>– Recognized the need for a Head of OD to take over OD duties as he focused on “impact work”</w:t>
            </w:r>
            <w:hyperlink r:id="rId285" w:history="1">
              <w:r w:rsidRPr="00DC57A5">
                <w:rPr>
                  <w:color w:val="464FEB"/>
                  <w:sz w:val="24"/>
                  <w:szCs w:val="24"/>
                </w:rPr>
                <w:t>[2]</w:t>
              </w:r>
            </w:hyperlink>
            <w:r w:rsidRPr="00DC57A5">
              <w:rPr>
                <w:sz w:val="24"/>
                <w:szCs w:val="24"/>
              </w:rPr>
              <w:t>.</w:t>
            </w:r>
            <w:r w:rsidRPr="00DC57A5">
              <w:rPr>
                <w:sz w:val="24"/>
                <w:szCs w:val="24"/>
              </w:rPr>
              <w:br/>
              <w:t>– Personally led many projects end-to-end (OKRs, 360, etc.), indicating he carried a heavy load himself.</w:t>
            </w:r>
          </w:p>
        </w:tc>
        <w:tc>
          <w:tcPr>
            <w:tcW w:w="0" w:type="auto"/>
            <w:vAlign w:val="center"/>
            <w:hideMark/>
          </w:tcPr>
          <w:p w14:paraId="638B6A0F" w14:textId="77777777" w:rsidR="00DC57A5" w:rsidRPr="00DC57A5" w:rsidRDefault="00DC57A5" w:rsidP="00DC57A5">
            <w:pPr>
              <w:rPr>
                <w:sz w:val="24"/>
                <w:szCs w:val="24"/>
              </w:rPr>
            </w:pPr>
            <w:r w:rsidRPr="00DC57A5">
              <w:rPr>
                <w:b/>
                <w:bCs/>
                <w:sz w:val="24"/>
                <w:szCs w:val="24"/>
              </w:rPr>
              <w:t>Greater leadership bandwidth:</w:t>
            </w:r>
            <w:r w:rsidRPr="00DC57A5">
              <w:rPr>
                <w:sz w:val="24"/>
                <w:szCs w:val="24"/>
              </w:rPr>
              <w:t xml:space="preserve"> Frees Employee A to focus on strategy and complex issues while trained reports drive projects autonomously.</w:t>
            </w:r>
            <w:r w:rsidRPr="00DC57A5">
              <w:rPr>
                <w:sz w:val="24"/>
                <w:szCs w:val="24"/>
              </w:rPr>
              <w:br/>
            </w:r>
            <w:r w:rsidRPr="00DC57A5">
              <w:rPr>
                <w:b/>
                <w:bCs/>
                <w:sz w:val="24"/>
                <w:szCs w:val="24"/>
              </w:rPr>
              <w:t>Stronger bench strength:</w:t>
            </w:r>
            <w:r w:rsidRPr="00DC57A5">
              <w:rPr>
                <w:sz w:val="24"/>
                <w:szCs w:val="24"/>
              </w:rPr>
              <w:t xml:space="preserve"> Team members like Joanne grow into larger roles (already on track for promotion</w:t>
            </w:r>
            <w:hyperlink r:id="rId286" w:history="1">
              <w:r w:rsidRPr="00DC57A5">
                <w:rPr>
                  <w:color w:val="464FEB"/>
                  <w:sz w:val="24"/>
                  <w:szCs w:val="24"/>
                </w:rPr>
                <w:t>[1]</w:t>
              </w:r>
            </w:hyperlink>
            <w:r w:rsidRPr="00DC57A5">
              <w:rPr>
                <w:sz w:val="24"/>
                <w:szCs w:val="24"/>
              </w:rPr>
              <w:t>), building a pipeline of leaders for TPC.</w:t>
            </w:r>
            <w:r w:rsidRPr="00DC57A5">
              <w:rPr>
                <w:sz w:val="24"/>
                <w:szCs w:val="24"/>
              </w:rPr>
              <w:br/>
            </w:r>
            <w:r w:rsidRPr="00DC57A5">
              <w:rPr>
                <w:b/>
                <w:bCs/>
                <w:sz w:val="24"/>
                <w:szCs w:val="24"/>
              </w:rPr>
              <w:t>Continuity of transformation:</w:t>
            </w:r>
            <w:r w:rsidRPr="00DC57A5">
              <w:rPr>
                <w:sz w:val="24"/>
                <w:szCs w:val="24"/>
              </w:rPr>
              <w:t xml:space="preserve"> Delegation ensures initiatives don’t bottleneck if Employee A is unavailable; work can progress under empowered lieutenants, sustaining momentum.</w:t>
            </w:r>
          </w:p>
        </w:tc>
      </w:tr>
      <w:tr w:rsidR="00DC57A5" w:rsidRPr="00DC57A5" w14:paraId="4928B95A" w14:textId="77777777">
        <w:trPr>
          <w:tblCellSpacing w:w="15" w:type="dxa"/>
        </w:trPr>
        <w:tc>
          <w:tcPr>
            <w:tcW w:w="0" w:type="auto"/>
            <w:vAlign w:val="center"/>
            <w:hideMark/>
          </w:tcPr>
          <w:p w14:paraId="5CD38B95" w14:textId="77777777" w:rsidR="00DC57A5" w:rsidRPr="00DC57A5" w:rsidRDefault="00DC57A5" w:rsidP="00DC57A5">
            <w:pPr>
              <w:rPr>
                <w:sz w:val="24"/>
                <w:szCs w:val="24"/>
              </w:rPr>
            </w:pPr>
            <w:r w:rsidRPr="00DC57A5">
              <w:rPr>
                <w:b/>
                <w:bCs/>
                <w:sz w:val="24"/>
                <w:szCs w:val="24"/>
              </w:rPr>
              <w:t>Moderate Workload &amp; Prioritize</w:t>
            </w:r>
            <w:r w:rsidRPr="00DC57A5">
              <w:rPr>
                <w:sz w:val="24"/>
                <w:szCs w:val="24"/>
              </w:rPr>
              <w:t xml:space="preserve"> </w:t>
            </w:r>
            <w:r w:rsidRPr="00DC57A5">
              <w:rPr>
                <w:sz w:val="24"/>
                <w:szCs w:val="24"/>
              </w:rPr>
              <w:br/>
            </w:r>
            <w:r w:rsidRPr="00DC57A5">
              <w:rPr>
                <w:i/>
                <w:iCs/>
                <w:sz w:val="24"/>
                <w:szCs w:val="24"/>
              </w:rPr>
              <w:t>Don’t overextend – focus on high-impact activities and pace the change.</w:t>
            </w:r>
          </w:p>
        </w:tc>
        <w:tc>
          <w:tcPr>
            <w:tcW w:w="0" w:type="auto"/>
            <w:vAlign w:val="center"/>
            <w:hideMark/>
          </w:tcPr>
          <w:p w14:paraId="3A9EBEF4" w14:textId="77777777" w:rsidR="00DC57A5" w:rsidRPr="00DC57A5" w:rsidRDefault="00DC57A5" w:rsidP="00DC57A5">
            <w:pPr>
              <w:rPr>
                <w:sz w:val="24"/>
                <w:szCs w:val="24"/>
              </w:rPr>
            </w:pPr>
            <w:r w:rsidRPr="00DC57A5">
              <w:rPr>
                <w:sz w:val="24"/>
                <w:szCs w:val="24"/>
              </w:rPr>
              <w:t xml:space="preserve">– Juggled multiple major initiatives simultaneously (e.g. rolled out </w:t>
            </w:r>
            <w:proofErr w:type="spellStart"/>
            <w:r w:rsidRPr="00DC57A5">
              <w:rPr>
                <w:sz w:val="24"/>
                <w:szCs w:val="24"/>
              </w:rPr>
              <w:t>ePCG</w:t>
            </w:r>
            <w:proofErr w:type="spellEnd"/>
            <w:r w:rsidRPr="00DC57A5">
              <w:rPr>
                <w:sz w:val="24"/>
                <w:szCs w:val="24"/>
              </w:rPr>
              <w:t xml:space="preserve"> platform and 360° feedback in same quarter)</w:t>
            </w:r>
            <w:hyperlink r:id="rId287" w:history="1">
              <w:r w:rsidRPr="00DC57A5">
                <w:rPr>
                  <w:color w:val="464FEB"/>
                  <w:sz w:val="24"/>
                  <w:szCs w:val="24"/>
                </w:rPr>
                <w:t>[4]</w:t>
              </w:r>
            </w:hyperlink>
            <w:hyperlink r:id="rId288" w:history="1">
              <w:r w:rsidRPr="00DC57A5">
                <w:rPr>
                  <w:color w:val="464FEB"/>
                  <w:sz w:val="24"/>
                  <w:szCs w:val="24"/>
                </w:rPr>
                <w:t>[4]</w:t>
              </w:r>
            </w:hyperlink>
            <w:r w:rsidRPr="00DC57A5">
              <w:rPr>
                <w:sz w:val="24"/>
                <w:szCs w:val="24"/>
              </w:rPr>
              <w:t>.</w:t>
            </w:r>
            <w:r w:rsidRPr="00DC57A5">
              <w:rPr>
                <w:sz w:val="24"/>
                <w:szCs w:val="24"/>
              </w:rPr>
              <w:br/>
              <w:t>– Admitted “impact work will require my full attention” and urged early onboarding of new OD Head</w:t>
            </w:r>
            <w:hyperlink r:id="rId289" w:history="1">
              <w:r w:rsidRPr="00DC57A5">
                <w:rPr>
                  <w:color w:val="464FEB"/>
                  <w:sz w:val="24"/>
                  <w:szCs w:val="24"/>
                </w:rPr>
                <w:t>[2]</w:t>
              </w:r>
            </w:hyperlink>
            <w:r w:rsidRPr="00DC57A5">
              <w:rPr>
                <w:sz w:val="24"/>
                <w:szCs w:val="24"/>
              </w:rPr>
              <w:t xml:space="preserve">, </w:t>
            </w:r>
            <w:proofErr w:type="spellStart"/>
            <w:r w:rsidRPr="00DC57A5">
              <w:rPr>
                <w:sz w:val="24"/>
                <w:szCs w:val="24"/>
              </w:rPr>
              <w:t>signaling</w:t>
            </w:r>
            <w:proofErr w:type="spellEnd"/>
            <w:r w:rsidRPr="00DC57A5">
              <w:rPr>
                <w:sz w:val="24"/>
                <w:szCs w:val="24"/>
              </w:rPr>
              <w:t xml:space="preserve"> near-capacity workload.</w:t>
            </w:r>
            <w:r w:rsidRPr="00DC57A5">
              <w:rPr>
                <w:sz w:val="24"/>
                <w:szCs w:val="24"/>
              </w:rPr>
              <w:br/>
              <w:t>– Maintained intense involvement in details (facilitating workshops, drafting documents), sometimes beyond typical scope for his level.</w:t>
            </w:r>
          </w:p>
        </w:tc>
        <w:tc>
          <w:tcPr>
            <w:tcW w:w="0" w:type="auto"/>
            <w:vAlign w:val="center"/>
            <w:hideMark/>
          </w:tcPr>
          <w:p w14:paraId="771058B9" w14:textId="77777777" w:rsidR="00DC57A5" w:rsidRPr="00DC57A5" w:rsidRDefault="00DC57A5" w:rsidP="00DC57A5">
            <w:pPr>
              <w:rPr>
                <w:sz w:val="24"/>
                <w:szCs w:val="24"/>
              </w:rPr>
            </w:pPr>
            <w:r w:rsidRPr="00DC57A5">
              <w:rPr>
                <w:b/>
                <w:bCs/>
                <w:sz w:val="24"/>
                <w:szCs w:val="24"/>
              </w:rPr>
              <w:t>Improved effectiveness:</w:t>
            </w:r>
            <w:r w:rsidRPr="00DC57A5">
              <w:rPr>
                <w:sz w:val="24"/>
                <w:szCs w:val="24"/>
              </w:rPr>
              <w:t xml:space="preserve"> By concentrating on fewer priorities at a time, each project gets fuller attention, potentially improving quality (e.g. more thorough change management, fewer last-minute fixes).</w:t>
            </w:r>
            <w:r w:rsidRPr="00DC57A5">
              <w:rPr>
                <w:sz w:val="24"/>
                <w:szCs w:val="24"/>
              </w:rPr>
              <w:br/>
            </w:r>
            <w:r w:rsidRPr="00DC57A5">
              <w:rPr>
                <w:b/>
                <w:bCs/>
                <w:sz w:val="24"/>
                <w:szCs w:val="24"/>
              </w:rPr>
              <w:t>Reduced risk of burnout:</w:t>
            </w:r>
            <w:r w:rsidRPr="00DC57A5">
              <w:rPr>
                <w:sz w:val="24"/>
                <w:szCs w:val="24"/>
              </w:rPr>
              <w:t xml:space="preserve"> A more balanced load keeps Employee A (and his team) energized and creative, rather than stretched thin – aligning with the Well-Being Mandate he champions.</w:t>
            </w:r>
            <w:r w:rsidRPr="00DC57A5">
              <w:rPr>
                <w:sz w:val="24"/>
                <w:szCs w:val="24"/>
              </w:rPr>
              <w:br/>
            </w:r>
            <w:r w:rsidRPr="00DC57A5">
              <w:rPr>
                <w:b/>
                <w:bCs/>
                <w:sz w:val="24"/>
                <w:szCs w:val="24"/>
              </w:rPr>
              <w:t>Strategic agility:</w:t>
            </w:r>
            <w:r w:rsidRPr="00DC57A5">
              <w:rPr>
                <w:sz w:val="24"/>
                <w:szCs w:val="24"/>
              </w:rPr>
              <w:t xml:space="preserve"> With breathing room in his schedule, Employee A can anticipate and respond to macro changes or new opportunities (like an unforeseen tech trend) instead of being constantly in reactive delivery mode.</w:t>
            </w:r>
          </w:p>
        </w:tc>
      </w:tr>
      <w:tr w:rsidR="00DC57A5" w:rsidRPr="00DC57A5" w14:paraId="3573E1BD" w14:textId="77777777">
        <w:trPr>
          <w:tblCellSpacing w:w="15" w:type="dxa"/>
        </w:trPr>
        <w:tc>
          <w:tcPr>
            <w:tcW w:w="0" w:type="auto"/>
            <w:vAlign w:val="center"/>
            <w:hideMark/>
          </w:tcPr>
          <w:p w14:paraId="3A5B8D2F" w14:textId="77777777" w:rsidR="00DC57A5" w:rsidRPr="00DC57A5" w:rsidRDefault="00DC57A5" w:rsidP="00DC57A5">
            <w:pPr>
              <w:rPr>
                <w:sz w:val="24"/>
                <w:szCs w:val="24"/>
              </w:rPr>
            </w:pPr>
            <w:r w:rsidRPr="00DC57A5">
              <w:rPr>
                <w:b/>
                <w:bCs/>
                <w:sz w:val="24"/>
                <w:szCs w:val="24"/>
              </w:rPr>
              <w:t>Tailor Approaches to Local Needs</w:t>
            </w:r>
            <w:r w:rsidRPr="00DC57A5">
              <w:rPr>
                <w:sz w:val="24"/>
                <w:szCs w:val="24"/>
              </w:rPr>
              <w:t xml:space="preserve"> </w:t>
            </w:r>
            <w:r w:rsidRPr="00DC57A5">
              <w:rPr>
                <w:sz w:val="24"/>
                <w:szCs w:val="24"/>
              </w:rPr>
              <w:br/>
            </w:r>
            <w:r w:rsidRPr="00DC57A5">
              <w:rPr>
                <w:i/>
                <w:iCs/>
                <w:sz w:val="24"/>
                <w:szCs w:val="24"/>
              </w:rPr>
              <w:t>Engage local offices and adapt initiatives to different cultural contexts.</w:t>
            </w:r>
          </w:p>
        </w:tc>
        <w:tc>
          <w:tcPr>
            <w:tcW w:w="0" w:type="auto"/>
            <w:vAlign w:val="center"/>
            <w:hideMark/>
          </w:tcPr>
          <w:p w14:paraId="65441598" w14:textId="77777777" w:rsidR="00DC57A5" w:rsidRPr="00DC57A5" w:rsidRDefault="00DC57A5" w:rsidP="00DC57A5">
            <w:pPr>
              <w:rPr>
                <w:sz w:val="24"/>
                <w:szCs w:val="24"/>
              </w:rPr>
            </w:pPr>
            <w:r w:rsidRPr="00DC57A5">
              <w:rPr>
                <w:sz w:val="24"/>
                <w:szCs w:val="24"/>
              </w:rPr>
              <w:t>– 360° feedback process was implemented uniformly; a China-based leader’s feedback showed discomfort with pre-selected reviewers due to “limited interactions”</w:t>
            </w:r>
            <w:hyperlink r:id="rId290" w:history="1">
              <w:r w:rsidRPr="00DC57A5">
                <w:rPr>
                  <w:color w:val="464FEB"/>
                  <w:sz w:val="24"/>
                  <w:szCs w:val="24"/>
                </w:rPr>
                <w:t>[6]</w:t>
              </w:r>
            </w:hyperlink>
            <w:hyperlink r:id="rId291" w:history="1">
              <w:r w:rsidRPr="00DC57A5">
                <w:rPr>
                  <w:color w:val="464FEB"/>
                  <w:sz w:val="24"/>
                  <w:szCs w:val="24"/>
                </w:rPr>
                <w:t>[7]</w:t>
              </w:r>
            </w:hyperlink>
            <w:r w:rsidRPr="00DC57A5">
              <w:rPr>
                <w:sz w:val="24"/>
                <w:szCs w:val="24"/>
              </w:rPr>
              <w:t>.</w:t>
            </w:r>
            <w:r w:rsidRPr="00DC57A5">
              <w:rPr>
                <w:sz w:val="24"/>
                <w:szCs w:val="24"/>
              </w:rPr>
              <w:br/>
              <w:t>– Sherin noted this reflected a lack of integration between TPC’s China office and other units</w:t>
            </w:r>
            <w:hyperlink r:id="rId292" w:history="1">
              <w:r w:rsidRPr="00DC57A5">
                <w:rPr>
                  <w:color w:val="464FEB"/>
                  <w:sz w:val="24"/>
                  <w:szCs w:val="24"/>
                </w:rPr>
                <w:t>[7]</w:t>
              </w:r>
            </w:hyperlink>
            <w:r w:rsidRPr="00DC57A5">
              <w:rPr>
                <w:sz w:val="24"/>
                <w:szCs w:val="24"/>
              </w:rPr>
              <w:t>.</w:t>
            </w:r>
            <w:r w:rsidRPr="00DC57A5">
              <w:rPr>
                <w:sz w:val="24"/>
                <w:szCs w:val="24"/>
              </w:rPr>
              <w:br/>
              <w:t>– Employee A primarily drove programs from HQ; limited evidence of local customization (materials were in English, etc.), though all regions participated.</w:t>
            </w:r>
          </w:p>
        </w:tc>
        <w:tc>
          <w:tcPr>
            <w:tcW w:w="0" w:type="auto"/>
            <w:vAlign w:val="center"/>
            <w:hideMark/>
          </w:tcPr>
          <w:p w14:paraId="7FFD5A08" w14:textId="77777777" w:rsidR="00DC57A5" w:rsidRPr="00DC57A5" w:rsidRDefault="00DC57A5" w:rsidP="00DC57A5">
            <w:pPr>
              <w:rPr>
                <w:sz w:val="24"/>
                <w:szCs w:val="24"/>
              </w:rPr>
            </w:pPr>
            <w:r w:rsidRPr="00DC57A5">
              <w:rPr>
                <w:b/>
                <w:bCs/>
                <w:sz w:val="24"/>
                <w:szCs w:val="24"/>
              </w:rPr>
              <w:t>Higher buy-in across regions:</w:t>
            </w:r>
            <w:r w:rsidRPr="00DC57A5">
              <w:rPr>
                <w:sz w:val="24"/>
                <w:szCs w:val="24"/>
              </w:rPr>
              <w:t xml:space="preserve"> Local leaders feel heard and considered, reducing resistance. E.g. China team more openly embraces group initiatives when they see adjustments for their context.</w:t>
            </w:r>
            <w:r w:rsidRPr="00DC57A5">
              <w:rPr>
                <w:sz w:val="24"/>
                <w:szCs w:val="24"/>
              </w:rPr>
              <w:br/>
            </w:r>
            <w:r w:rsidRPr="00DC57A5">
              <w:rPr>
                <w:b/>
                <w:bCs/>
                <w:sz w:val="24"/>
                <w:szCs w:val="24"/>
              </w:rPr>
              <w:t>More cohesive culture:</w:t>
            </w:r>
            <w:r w:rsidRPr="00DC57A5">
              <w:rPr>
                <w:sz w:val="24"/>
                <w:szCs w:val="24"/>
              </w:rPr>
              <w:t xml:space="preserve"> Bridging gaps (like between TPC China and BUs) fosters “One TPC” identity. Cross-unit trust improves, aiding collaboration on transformation projects (a critical factor for global companies).</w:t>
            </w:r>
            <w:r w:rsidRPr="00DC57A5">
              <w:rPr>
                <w:sz w:val="24"/>
                <w:szCs w:val="24"/>
              </w:rPr>
              <w:br/>
            </w:r>
            <w:r w:rsidRPr="00DC57A5">
              <w:rPr>
                <w:b/>
                <w:bCs/>
                <w:sz w:val="24"/>
                <w:szCs w:val="24"/>
              </w:rPr>
              <w:t>Effective implementation:</w:t>
            </w:r>
            <w:r w:rsidRPr="00DC57A5">
              <w:rPr>
                <w:sz w:val="24"/>
                <w:szCs w:val="24"/>
              </w:rPr>
              <w:t xml:space="preserve"> Initiatives land successfully everywhere – training sticks better when in local language/examples, feedback processes yield more honest input if culturally attuned, etc. This maximizes the overall impact of each program.</w:t>
            </w:r>
          </w:p>
        </w:tc>
      </w:tr>
      <w:tr w:rsidR="00DC57A5" w:rsidRPr="00DC57A5" w14:paraId="12F36370" w14:textId="77777777">
        <w:trPr>
          <w:tblCellSpacing w:w="15" w:type="dxa"/>
        </w:trPr>
        <w:tc>
          <w:tcPr>
            <w:tcW w:w="0" w:type="auto"/>
            <w:vAlign w:val="center"/>
            <w:hideMark/>
          </w:tcPr>
          <w:p w14:paraId="39A7DAD0" w14:textId="77777777" w:rsidR="00DC57A5" w:rsidRPr="00DC57A5" w:rsidRDefault="00DC57A5" w:rsidP="00DC57A5">
            <w:pPr>
              <w:rPr>
                <w:sz w:val="24"/>
                <w:szCs w:val="24"/>
              </w:rPr>
            </w:pPr>
            <w:r w:rsidRPr="00DC57A5">
              <w:rPr>
                <w:b/>
                <w:bCs/>
                <w:sz w:val="24"/>
                <w:szCs w:val="24"/>
              </w:rPr>
              <w:t>Improve Communication Clarity</w:t>
            </w:r>
            <w:r w:rsidRPr="00DC57A5">
              <w:rPr>
                <w:sz w:val="24"/>
                <w:szCs w:val="24"/>
              </w:rPr>
              <w:t xml:space="preserve"> </w:t>
            </w:r>
            <w:r w:rsidRPr="00DC57A5">
              <w:rPr>
                <w:sz w:val="24"/>
                <w:szCs w:val="24"/>
              </w:rPr>
              <w:br/>
            </w:r>
            <w:r w:rsidRPr="00DC57A5">
              <w:rPr>
                <w:i/>
                <w:iCs/>
                <w:sz w:val="24"/>
                <w:szCs w:val="24"/>
              </w:rPr>
              <w:t>Double-check and streamline messaging to avoid confusion.</w:t>
            </w:r>
          </w:p>
        </w:tc>
        <w:tc>
          <w:tcPr>
            <w:tcW w:w="0" w:type="auto"/>
            <w:vAlign w:val="center"/>
            <w:hideMark/>
          </w:tcPr>
          <w:p w14:paraId="77823E84" w14:textId="77777777" w:rsidR="00DC57A5" w:rsidRPr="00DC57A5" w:rsidRDefault="00DC57A5" w:rsidP="00DC57A5">
            <w:pPr>
              <w:rPr>
                <w:sz w:val="24"/>
                <w:szCs w:val="24"/>
              </w:rPr>
            </w:pPr>
            <w:r w:rsidRPr="00DC57A5">
              <w:rPr>
                <w:sz w:val="24"/>
                <w:szCs w:val="24"/>
              </w:rPr>
              <w:t>– Initial draft of 360 feedback email had inaccurate instructions (implying self-selection of reviewers); Tang B.W. highlighted and corrected this before send-out</w:t>
            </w:r>
            <w:hyperlink r:id="rId293" w:history="1">
              <w:r w:rsidRPr="00DC57A5">
                <w:rPr>
                  <w:color w:val="464FEB"/>
                  <w:sz w:val="24"/>
                  <w:szCs w:val="24"/>
                </w:rPr>
                <w:t>[8]</w:t>
              </w:r>
            </w:hyperlink>
            <w:hyperlink r:id="rId294" w:history="1">
              <w:r w:rsidRPr="00DC57A5">
                <w:rPr>
                  <w:color w:val="464FEB"/>
                  <w:sz w:val="24"/>
                  <w:szCs w:val="24"/>
                </w:rPr>
                <w:t>[8]</w:t>
              </w:r>
            </w:hyperlink>
            <w:r w:rsidRPr="00DC57A5">
              <w:rPr>
                <w:sz w:val="24"/>
                <w:szCs w:val="24"/>
              </w:rPr>
              <w:t>.</w:t>
            </w:r>
            <w:r w:rsidRPr="00DC57A5">
              <w:rPr>
                <w:sz w:val="24"/>
                <w:szCs w:val="24"/>
              </w:rPr>
              <w:br/>
              <w:t>– Employee A tends to provide detailed communications (which is informative but sometimes lengthy or technical for broad audiences).</w:t>
            </w:r>
            <w:r w:rsidRPr="00DC57A5">
              <w:rPr>
                <w:sz w:val="24"/>
                <w:szCs w:val="24"/>
              </w:rPr>
              <w:br/>
              <w:t>– When communications were clear (e.g. Tang’s briefing slides, recorded sessions), leaders across geographies understood and complied with new processes</w:t>
            </w:r>
            <w:hyperlink r:id="rId295" w:history="1">
              <w:r w:rsidRPr="00DC57A5">
                <w:rPr>
                  <w:color w:val="464FEB"/>
                  <w:sz w:val="24"/>
                  <w:szCs w:val="24"/>
                </w:rPr>
                <w:t>[9]</w:t>
              </w:r>
            </w:hyperlink>
            <w:hyperlink r:id="rId296" w:history="1">
              <w:r w:rsidRPr="00DC57A5">
                <w:rPr>
                  <w:color w:val="464FEB"/>
                  <w:sz w:val="24"/>
                  <w:szCs w:val="24"/>
                </w:rPr>
                <w:t>[8]</w:t>
              </w:r>
            </w:hyperlink>
            <w:r w:rsidRPr="00DC57A5">
              <w:rPr>
                <w:sz w:val="24"/>
                <w:szCs w:val="24"/>
              </w:rPr>
              <w:t>.</w:t>
            </w:r>
          </w:p>
        </w:tc>
        <w:tc>
          <w:tcPr>
            <w:tcW w:w="0" w:type="auto"/>
            <w:vAlign w:val="center"/>
            <w:hideMark/>
          </w:tcPr>
          <w:p w14:paraId="5AA54FCD" w14:textId="77777777" w:rsidR="00DC57A5" w:rsidRPr="00DC57A5" w:rsidRDefault="00DC57A5" w:rsidP="00DC57A5">
            <w:pPr>
              <w:rPr>
                <w:sz w:val="24"/>
                <w:szCs w:val="24"/>
              </w:rPr>
            </w:pPr>
            <w:r w:rsidRPr="00DC57A5">
              <w:rPr>
                <w:b/>
                <w:bCs/>
                <w:sz w:val="24"/>
                <w:szCs w:val="24"/>
              </w:rPr>
              <w:t>Less confusion &amp; rework:</w:t>
            </w:r>
            <w:r w:rsidRPr="00DC57A5">
              <w:rPr>
                <w:sz w:val="24"/>
                <w:szCs w:val="24"/>
              </w:rPr>
              <w:t xml:space="preserve"> Clear, correct instructions from the start mean employees can execute without seeking clarifications. This saves time (e.g. fewer follow-up emails to fix misunderstandings) and ensures smoother rollouts.</w:t>
            </w:r>
            <w:r w:rsidRPr="00DC57A5">
              <w:rPr>
                <w:sz w:val="24"/>
                <w:szCs w:val="24"/>
              </w:rPr>
              <w:br/>
            </w:r>
            <w:r w:rsidRPr="00DC57A5">
              <w:rPr>
                <w:b/>
                <w:bCs/>
                <w:sz w:val="24"/>
                <w:szCs w:val="24"/>
              </w:rPr>
              <w:t>Greater credibility and trust:</w:t>
            </w:r>
            <w:r w:rsidRPr="00DC57A5">
              <w:rPr>
                <w:sz w:val="24"/>
                <w:szCs w:val="24"/>
              </w:rPr>
              <w:t xml:space="preserve"> Consistently accurate communications reinforce that leadership has done its homework. Employees trust the information and are more likely to engage. (In 2025, once the 360 email was fixed, BU leaders had no further confusion and proceeded smoothly</w:t>
            </w:r>
            <w:hyperlink r:id="rId297" w:history="1">
              <w:r w:rsidRPr="00DC57A5">
                <w:rPr>
                  <w:color w:val="464FEB"/>
                  <w:sz w:val="24"/>
                  <w:szCs w:val="24"/>
                </w:rPr>
                <w:t>[8]</w:t>
              </w:r>
            </w:hyperlink>
            <w:r w:rsidRPr="00DC57A5">
              <w:rPr>
                <w:sz w:val="24"/>
                <w:szCs w:val="24"/>
              </w:rPr>
              <w:t>.)</w:t>
            </w:r>
            <w:r w:rsidRPr="00DC57A5">
              <w:rPr>
                <w:sz w:val="24"/>
                <w:szCs w:val="24"/>
              </w:rPr>
              <w:br/>
            </w:r>
            <w:r w:rsidRPr="00DC57A5">
              <w:rPr>
                <w:b/>
                <w:bCs/>
                <w:sz w:val="24"/>
                <w:szCs w:val="24"/>
              </w:rPr>
              <w:t>Stronger influence:</w:t>
            </w:r>
            <w:r w:rsidRPr="00DC57A5">
              <w:rPr>
                <w:sz w:val="24"/>
                <w:szCs w:val="24"/>
              </w:rPr>
              <w:t xml:space="preserve"> By honing a concise, outcomes-focused communication style, Employee A will more effectively persuade senior stakeholders (e.g. in Board updates) and inspire the broader organization. His messages will resonate and stick, amplifying his vision’s reach.</w:t>
            </w:r>
          </w:p>
        </w:tc>
      </w:tr>
      <w:tr w:rsidR="00DC57A5" w:rsidRPr="00DC57A5" w14:paraId="34654759" w14:textId="77777777">
        <w:trPr>
          <w:tblCellSpacing w:w="15" w:type="dxa"/>
        </w:trPr>
        <w:tc>
          <w:tcPr>
            <w:tcW w:w="0" w:type="auto"/>
            <w:vAlign w:val="center"/>
            <w:hideMark/>
          </w:tcPr>
          <w:p w14:paraId="1E3A6BBF" w14:textId="77777777" w:rsidR="00DC57A5" w:rsidRPr="00DC57A5" w:rsidRDefault="00DC57A5" w:rsidP="00DC57A5">
            <w:pPr>
              <w:rPr>
                <w:sz w:val="24"/>
                <w:szCs w:val="24"/>
              </w:rPr>
            </w:pPr>
            <w:r w:rsidRPr="00DC57A5">
              <w:rPr>
                <w:b/>
                <w:bCs/>
                <w:sz w:val="24"/>
                <w:szCs w:val="24"/>
              </w:rPr>
              <w:t>Cross-Cultural Leadership Skills</w:t>
            </w:r>
            <w:r w:rsidRPr="00DC57A5">
              <w:rPr>
                <w:sz w:val="24"/>
                <w:szCs w:val="24"/>
              </w:rPr>
              <w:t xml:space="preserve"> </w:t>
            </w:r>
            <w:r w:rsidRPr="00DC57A5">
              <w:rPr>
                <w:sz w:val="24"/>
                <w:szCs w:val="24"/>
              </w:rPr>
              <w:br/>
            </w:r>
            <w:r w:rsidRPr="00DC57A5">
              <w:rPr>
                <w:i/>
                <w:iCs/>
                <w:sz w:val="24"/>
                <w:szCs w:val="24"/>
              </w:rPr>
              <w:t>Develop deeper understanding and connection with regional teams; bridge silos.</w:t>
            </w:r>
          </w:p>
        </w:tc>
        <w:tc>
          <w:tcPr>
            <w:tcW w:w="0" w:type="auto"/>
            <w:vAlign w:val="center"/>
            <w:hideMark/>
          </w:tcPr>
          <w:p w14:paraId="424450BC" w14:textId="77777777" w:rsidR="00DC57A5" w:rsidRPr="00DC57A5" w:rsidRDefault="00DC57A5" w:rsidP="00DC57A5">
            <w:pPr>
              <w:rPr>
                <w:sz w:val="24"/>
                <w:szCs w:val="24"/>
              </w:rPr>
            </w:pPr>
            <w:r w:rsidRPr="00DC57A5">
              <w:rPr>
                <w:sz w:val="24"/>
                <w:szCs w:val="24"/>
              </w:rPr>
              <w:t>– Some silo mentality persisted (China office felt “lack of interaction” with others</w:t>
            </w:r>
            <w:hyperlink r:id="rId298" w:history="1">
              <w:r w:rsidRPr="00DC57A5">
                <w:rPr>
                  <w:color w:val="464FEB"/>
                  <w:sz w:val="24"/>
                  <w:szCs w:val="24"/>
                </w:rPr>
                <w:t>[7]</w:t>
              </w:r>
            </w:hyperlink>
            <w:r w:rsidRPr="00DC57A5">
              <w:rPr>
                <w:sz w:val="24"/>
                <w:szCs w:val="24"/>
              </w:rPr>
              <w:t>; data silos existed between business units until Employee A intervened).</w:t>
            </w:r>
            <w:r w:rsidRPr="00DC57A5">
              <w:rPr>
                <w:sz w:val="24"/>
                <w:szCs w:val="24"/>
              </w:rPr>
              <w:br/>
              <w:t>– Employee A primarily operated from Singapore HQ. Direct visits or cultural adaptation efforts in other countries were limited in 2025 (due partly to COVID/travel constraints easing only mid-year).</w:t>
            </w:r>
            <w:r w:rsidRPr="00DC57A5">
              <w:rPr>
                <w:sz w:val="24"/>
                <w:szCs w:val="24"/>
              </w:rPr>
              <w:br/>
              <w:t>– Programs like GMW and QLFP included international participants, but content was largely HQ-designed.</w:t>
            </w:r>
          </w:p>
        </w:tc>
        <w:tc>
          <w:tcPr>
            <w:tcW w:w="0" w:type="auto"/>
            <w:vAlign w:val="center"/>
            <w:hideMark/>
          </w:tcPr>
          <w:p w14:paraId="51DA07AD" w14:textId="77777777" w:rsidR="00DC57A5" w:rsidRPr="00DC57A5" w:rsidRDefault="00DC57A5" w:rsidP="00DC57A5">
            <w:pPr>
              <w:rPr>
                <w:sz w:val="24"/>
                <w:szCs w:val="24"/>
              </w:rPr>
            </w:pPr>
            <w:r w:rsidRPr="00DC57A5">
              <w:rPr>
                <w:b/>
                <w:bCs/>
                <w:sz w:val="24"/>
                <w:szCs w:val="24"/>
              </w:rPr>
              <w:t>Enhanced global alignment:</w:t>
            </w:r>
            <w:r w:rsidRPr="00DC57A5">
              <w:rPr>
                <w:sz w:val="24"/>
                <w:szCs w:val="24"/>
              </w:rPr>
              <w:t xml:space="preserve"> As Employee A builds cultural fluency (e.g. spending time with China, Thai teams), trust grows. Regional leaders become more engaged in transformation instead of seeing it as “HQ-driven.” This leads to fewer miscommunications and a unified approach to change.</w:t>
            </w:r>
            <w:r w:rsidRPr="00DC57A5">
              <w:rPr>
                <w:sz w:val="24"/>
                <w:szCs w:val="24"/>
              </w:rPr>
              <w:br/>
            </w:r>
            <w:r w:rsidRPr="00DC57A5">
              <w:rPr>
                <w:b/>
                <w:bCs/>
                <w:sz w:val="24"/>
                <w:szCs w:val="24"/>
              </w:rPr>
              <w:t>Innovation from diversity:</w:t>
            </w:r>
            <w:r w:rsidRPr="00DC57A5">
              <w:rPr>
                <w:sz w:val="24"/>
                <w:szCs w:val="24"/>
              </w:rPr>
              <w:t xml:space="preserve"> By actively listening to local perspectives, Employee A may discover new ideas or concerns early. For example, a local market trend noticed by Thailand’s team could be integrated into TPC’s strategy. Culturally diverse input will improve problem-solving and innovation in transformation initiatives.</w:t>
            </w:r>
            <w:r w:rsidRPr="00DC57A5">
              <w:rPr>
                <w:sz w:val="24"/>
                <w:szCs w:val="24"/>
              </w:rPr>
              <w:br/>
            </w:r>
            <w:r w:rsidRPr="00DC57A5">
              <w:rPr>
                <w:b/>
                <w:bCs/>
                <w:sz w:val="24"/>
                <w:szCs w:val="24"/>
              </w:rPr>
              <w:t>Employee engagement and retention:</w:t>
            </w:r>
            <w:r w:rsidRPr="00DC57A5">
              <w:rPr>
                <w:sz w:val="24"/>
                <w:szCs w:val="24"/>
              </w:rPr>
              <w:t xml:space="preserve"> Employees company-wide feel valued and understood. Morale and commitment to TPC’s vision increase when leadership demonstrates cultural empathy. Employee A’s efforts here support TPC’s value of </w:t>
            </w:r>
            <w:r w:rsidRPr="00DC57A5">
              <w:rPr>
                <w:i/>
                <w:iCs/>
                <w:sz w:val="24"/>
                <w:szCs w:val="24"/>
              </w:rPr>
              <w:t>Harmony</w:t>
            </w:r>
            <w:r w:rsidRPr="00DC57A5">
              <w:rPr>
                <w:sz w:val="24"/>
                <w:szCs w:val="24"/>
              </w:rPr>
              <w:t xml:space="preserve"> (working “with respect for diversity”), making the organization more resilient and inclusive.</w:t>
            </w:r>
          </w:p>
        </w:tc>
      </w:tr>
      <w:tr w:rsidR="00DC57A5" w:rsidRPr="00DC57A5" w14:paraId="2635B677" w14:textId="77777777">
        <w:trPr>
          <w:tblCellSpacing w:w="15" w:type="dxa"/>
        </w:trPr>
        <w:tc>
          <w:tcPr>
            <w:tcW w:w="0" w:type="auto"/>
            <w:vAlign w:val="center"/>
            <w:hideMark/>
          </w:tcPr>
          <w:p w14:paraId="2C6EF075" w14:textId="77777777" w:rsidR="00DC57A5" w:rsidRPr="00DC57A5" w:rsidRDefault="00DC57A5" w:rsidP="00DC57A5">
            <w:pPr>
              <w:rPr>
                <w:sz w:val="24"/>
                <w:szCs w:val="24"/>
              </w:rPr>
            </w:pPr>
            <w:r w:rsidRPr="00DC57A5">
              <w:rPr>
                <w:b/>
                <w:bCs/>
                <w:sz w:val="24"/>
                <w:szCs w:val="24"/>
              </w:rPr>
              <w:t>Strategic Influence &amp; Executive Communication</w:t>
            </w:r>
            <w:r w:rsidRPr="00DC57A5">
              <w:rPr>
                <w:sz w:val="24"/>
                <w:szCs w:val="24"/>
              </w:rPr>
              <w:t xml:space="preserve"> </w:t>
            </w:r>
            <w:r w:rsidRPr="00DC57A5">
              <w:rPr>
                <w:sz w:val="24"/>
                <w:szCs w:val="24"/>
              </w:rPr>
              <w:br/>
            </w:r>
            <w:r w:rsidRPr="00DC57A5">
              <w:rPr>
                <w:i/>
                <w:iCs/>
                <w:sz w:val="24"/>
                <w:szCs w:val="24"/>
              </w:rPr>
              <w:t>Focus on high-level storytelling, upward influence, and external thought leadership.</w:t>
            </w:r>
          </w:p>
        </w:tc>
        <w:tc>
          <w:tcPr>
            <w:tcW w:w="0" w:type="auto"/>
            <w:vAlign w:val="center"/>
            <w:hideMark/>
          </w:tcPr>
          <w:p w14:paraId="370B8B27" w14:textId="77777777" w:rsidR="00DC57A5" w:rsidRPr="00DC57A5" w:rsidRDefault="00DC57A5" w:rsidP="00DC57A5">
            <w:pPr>
              <w:rPr>
                <w:sz w:val="24"/>
                <w:szCs w:val="24"/>
              </w:rPr>
            </w:pPr>
            <w:r w:rsidRPr="00DC57A5">
              <w:rPr>
                <w:sz w:val="24"/>
                <w:szCs w:val="24"/>
              </w:rPr>
              <w:t>– Employee A adeptly communicated transformation plans to management (e.g. curating OKRs, explaining AI data needs), and secured support from the Group CCO and Chairman in many cases.</w:t>
            </w:r>
            <w:r w:rsidRPr="00DC57A5">
              <w:rPr>
                <w:sz w:val="24"/>
                <w:szCs w:val="24"/>
              </w:rPr>
              <w:br/>
              <w:t>– Some communications to top leaders were very detailed or operational. For instance, his update on NUS WEGA deliverables was thorough in content</w:t>
            </w:r>
            <w:hyperlink r:id="rId299" w:history="1">
              <w:r w:rsidRPr="00DC57A5">
                <w:rPr>
                  <w:color w:val="464FEB"/>
                  <w:sz w:val="24"/>
                  <w:szCs w:val="24"/>
                </w:rPr>
                <w:t>[3]</w:t>
              </w:r>
            </w:hyperlink>
            <w:r w:rsidRPr="00DC57A5">
              <w:rPr>
                <w:sz w:val="24"/>
                <w:szCs w:val="24"/>
              </w:rPr>
              <w:t>, but could be distilled for executive summary purposes.</w:t>
            </w:r>
            <w:r w:rsidRPr="00DC57A5">
              <w:rPr>
                <w:sz w:val="24"/>
                <w:szCs w:val="24"/>
              </w:rPr>
              <w:br/>
              <w:t>– He occasionally relied on Niap to reinforce messages (such as calling out data silo issues in a leadership forum), indicating room to grow his direct influence at the highest level.</w:t>
            </w:r>
          </w:p>
        </w:tc>
        <w:tc>
          <w:tcPr>
            <w:tcW w:w="0" w:type="auto"/>
            <w:vAlign w:val="center"/>
            <w:hideMark/>
          </w:tcPr>
          <w:p w14:paraId="50E6180E" w14:textId="77777777" w:rsidR="00DC57A5" w:rsidRPr="00DC57A5" w:rsidRDefault="00DC57A5" w:rsidP="00DC57A5">
            <w:pPr>
              <w:rPr>
                <w:sz w:val="24"/>
                <w:szCs w:val="24"/>
              </w:rPr>
            </w:pPr>
            <w:r w:rsidRPr="00DC57A5">
              <w:rPr>
                <w:b/>
                <w:bCs/>
                <w:sz w:val="24"/>
                <w:szCs w:val="24"/>
              </w:rPr>
              <w:t>Stronger leadership presence:</w:t>
            </w:r>
            <w:r w:rsidRPr="00DC57A5">
              <w:rPr>
                <w:sz w:val="24"/>
                <w:szCs w:val="24"/>
              </w:rPr>
              <w:t xml:space="preserve"> By communicating key messages in a concise, compelling way, Employee A will command greater attention from the Board and senior execs. This could help in moments where he needs quick decisions or more resources – his recommendations will carry weight, speeding up approval. (E.g., a crisp case for an AI investment might get immediate Chairman buy-in.)</w:t>
            </w:r>
            <w:r w:rsidRPr="00DC57A5">
              <w:rPr>
                <w:sz w:val="24"/>
                <w:szCs w:val="24"/>
              </w:rPr>
              <w:br/>
            </w:r>
            <w:r w:rsidRPr="00DC57A5">
              <w:rPr>
                <w:b/>
                <w:bCs/>
                <w:sz w:val="24"/>
                <w:szCs w:val="24"/>
              </w:rPr>
              <w:t>Broader impact influence:</w:t>
            </w:r>
            <w:r w:rsidRPr="00DC57A5">
              <w:rPr>
                <w:sz w:val="24"/>
                <w:szCs w:val="24"/>
              </w:rPr>
              <w:t xml:space="preserve"> If Employee A becomes a recognized thought leader externally (publishing TPC’s success story, speaking at industry events), it elevates both his and TPC’s profile. This can attract partners, talent, and goodwill, indirectly accelerating transformation (as more people want to be part of or support TPC’s journey).</w:t>
            </w:r>
            <w:r w:rsidRPr="00DC57A5">
              <w:rPr>
                <w:sz w:val="24"/>
                <w:szCs w:val="24"/>
              </w:rPr>
              <w:br/>
            </w:r>
            <w:r w:rsidRPr="00DC57A5">
              <w:rPr>
                <w:b/>
                <w:bCs/>
                <w:sz w:val="24"/>
                <w:szCs w:val="24"/>
              </w:rPr>
              <w:t>Sharper vision execution:</w:t>
            </w:r>
            <w:r w:rsidRPr="00DC57A5">
              <w:rPr>
                <w:sz w:val="24"/>
                <w:szCs w:val="24"/>
              </w:rPr>
              <w:t xml:space="preserve"> Improving upward influence also means being able to challenge or shape strategy at the top table. Employee A will be better positioned to advocate for bold moves (as he did with data governance) without needing proxy voices. Over time, this helps ensure the transformation vision and corporate strategy remain aligned – with Employee A actively co-steering, not just executing, TPC’s future direction.</w:t>
            </w:r>
          </w:p>
        </w:tc>
      </w:tr>
      <w:tr w:rsidR="00DC57A5" w:rsidRPr="00DC57A5" w14:paraId="72CEA3F4" w14:textId="77777777">
        <w:trPr>
          <w:tblCellSpacing w:w="15" w:type="dxa"/>
        </w:trPr>
        <w:tc>
          <w:tcPr>
            <w:tcW w:w="0" w:type="auto"/>
            <w:vAlign w:val="center"/>
            <w:hideMark/>
          </w:tcPr>
          <w:p w14:paraId="75A5C3DA" w14:textId="77777777" w:rsidR="00DC57A5" w:rsidRPr="00DC57A5" w:rsidRDefault="00DC57A5" w:rsidP="00DC57A5">
            <w:pPr>
              <w:rPr>
                <w:sz w:val="24"/>
                <w:szCs w:val="24"/>
              </w:rPr>
            </w:pPr>
            <w:r w:rsidRPr="00DC57A5">
              <w:rPr>
                <w:b/>
                <w:bCs/>
                <w:sz w:val="24"/>
                <w:szCs w:val="24"/>
              </w:rPr>
              <w:t>Personal Resilience &amp; Well-Being</w:t>
            </w:r>
            <w:r w:rsidRPr="00DC57A5">
              <w:rPr>
                <w:sz w:val="24"/>
                <w:szCs w:val="24"/>
              </w:rPr>
              <w:t xml:space="preserve"> </w:t>
            </w:r>
            <w:r w:rsidRPr="00DC57A5">
              <w:rPr>
                <w:sz w:val="24"/>
                <w:szCs w:val="24"/>
              </w:rPr>
              <w:br/>
            </w:r>
            <w:r w:rsidRPr="00DC57A5">
              <w:rPr>
                <w:i/>
                <w:iCs/>
                <w:sz w:val="24"/>
                <w:szCs w:val="24"/>
              </w:rPr>
              <w:t>Maintain own well-being to sustain performance (model “flourishing” leadership).</w:t>
            </w:r>
          </w:p>
        </w:tc>
        <w:tc>
          <w:tcPr>
            <w:tcW w:w="0" w:type="auto"/>
            <w:vAlign w:val="center"/>
            <w:hideMark/>
          </w:tcPr>
          <w:p w14:paraId="73576D1D" w14:textId="77777777" w:rsidR="00DC57A5" w:rsidRPr="00DC57A5" w:rsidRDefault="00DC57A5" w:rsidP="00DC57A5">
            <w:pPr>
              <w:rPr>
                <w:sz w:val="24"/>
                <w:szCs w:val="24"/>
              </w:rPr>
            </w:pPr>
            <w:r w:rsidRPr="00DC57A5">
              <w:rPr>
                <w:sz w:val="24"/>
                <w:szCs w:val="24"/>
              </w:rPr>
              <w:t>– Employee A maintained high energy throughout 2025, but the workload and pace were intense (back-to-back initiatives and events). No explicit downtime is noted in records, implying he worked through heavy demands.</w:t>
            </w:r>
            <w:r w:rsidRPr="00DC57A5">
              <w:rPr>
                <w:sz w:val="24"/>
                <w:szCs w:val="24"/>
              </w:rPr>
              <w:br/>
              <w:t>– He deeply cares about well-being (coach for MLP, etc.), but it’s unclear how much recovery he allowed himself. His commitment often meant responding rapidly (even out of traditional hours, per email timestamps).</w:t>
            </w:r>
            <w:r w:rsidRPr="00DC57A5">
              <w:rPr>
                <w:sz w:val="24"/>
                <w:szCs w:val="24"/>
              </w:rPr>
              <w:br/>
              <w:t>– As transformation expands, demands on him will remain high; capacity must be managed to avoid fatigue.</w:t>
            </w:r>
          </w:p>
        </w:tc>
        <w:tc>
          <w:tcPr>
            <w:tcW w:w="0" w:type="auto"/>
            <w:vAlign w:val="center"/>
            <w:hideMark/>
          </w:tcPr>
          <w:p w14:paraId="7C01F987" w14:textId="77777777" w:rsidR="00DC57A5" w:rsidRPr="00DC57A5" w:rsidRDefault="00DC57A5" w:rsidP="00DC57A5">
            <w:pPr>
              <w:rPr>
                <w:sz w:val="24"/>
                <w:szCs w:val="24"/>
              </w:rPr>
            </w:pPr>
            <w:r w:rsidRPr="00DC57A5">
              <w:rPr>
                <w:b/>
                <w:bCs/>
                <w:sz w:val="24"/>
                <w:szCs w:val="24"/>
              </w:rPr>
              <w:t>Sustained high performance:</w:t>
            </w:r>
            <w:r w:rsidRPr="00DC57A5">
              <w:rPr>
                <w:sz w:val="24"/>
                <w:szCs w:val="24"/>
              </w:rPr>
              <w:t xml:space="preserve"> By proactively managing stress and energy (e.g. taking regular short vacations, practicing mindfulness daily, delegating when overloaded), Employee A can continue to perform at peak levels without burnout. This means TPC retains a fully effective transformation leader over the long haul, avoiding disruption from potential health issues or fatigue-related errors.</w:t>
            </w:r>
            <w:r w:rsidRPr="00DC57A5">
              <w:rPr>
                <w:sz w:val="24"/>
                <w:szCs w:val="24"/>
              </w:rPr>
              <w:br/>
            </w:r>
            <w:r w:rsidRPr="00DC57A5">
              <w:rPr>
                <w:b/>
                <w:bCs/>
                <w:sz w:val="24"/>
                <w:szCs w:val="24"/>
              </w:rPr>
              <w:t>Authentic well-being culture:</w:t>
            </w:r>
            <w:r w:rsidRPr="00DC57A5">
              <w:rPr>
                <w:sz w:val="24"/>
                <w:szCs w:val="24"/>
              </w:rPr>
              <w:t xml:space="preserve"> When employees see Employee A living the values – for example, openly taking a wellness day or sharing how he balances work and family – it powerfully legitimizes the Well-Being Mandate. It encourages others to prioritize health, creating a more vibrant, productive workforce. Essentially, Employee A’s self-care becomes a case study for “well-being leads to better results,” reinforcing the culture he’s trying to build.</w:t>
            </w:r>
            <w:r w:rsidRPr="00DC57A5">
              <w:rPr>
                <w:sz w:val="24"/>
                <w:szCs w:val="24"/>
              </w:rPr>
              <w:br/>
            </w:r>
            <w:r w:rsidRPr="00DC57A5">
              <w:rPr>
                <w:b/>
                <w:bCs/>
                <w:sz w:val="24"/>
                <w:szCs w:val="24"/>
              </w:rPr>
              <w:t>Creative and agile leadership:</w:t>
            </w:r>
            <w:r w:rsidRPr="00DC57A5">
              <w:rPr>
                <w:sz w:val="24"/>
                <w:szCs w:val="24"/>
              </w:rPr>
              <w:t xml:space="preserve"> A rested, </w:t>
            </w:r>
            <w:proofErr w:type="spellStart"/>
            <w:r w:rsidRPr="00DC57A5">
              <w:rPr>
                <w:sz w:val="24"/>
                <w:szCs w:val="24"/>
              </w:rPr>
              <w:t>centered</w:t>
            </w:r>
            <w:proofErr w:type="spellEnd"/>
            <w:r w:rsidRPr="00DC57A5">
              <w:rPr>
                <w:sz w:val="24"/>
                <w:szCs w:val="24"/>
              </w:rPr>
              <w:t xml:space="preserve"> leader is more creative and adaptable. Ensuring he isn’t perpetually exhausted will help Employee A remain creative in problem-solving and upbeat in leadership tone. In times of crisis or change, his resilience will set the tone. Developing this area means TPC can count on Employee A to navigate future turbulence with calm and clarity, because his internal resources are strong.</w:t>
            </w:r>
          </w:p>
        </w:tc>
      </w:tr>
    </w:tbl>
    <w:p w14:paraId="7C74C7D7"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i/>
          <w:iCs/>
          <w:sz w:val="21"/>
          <w:szCs w:val="21"/>
        </w:rPr>
        <w:t>Table: Employee A’s Development Areas – Recommended actions, evidence from 2025, and expected outcomes.</w:t>
      </w:r>
    </w:p>
    <w:p w14:paraId="27237B38" w14:textId="77777777" w:rsidR="00DC57A5" w:rsidRPr="00DC57A5" w:rsidRDefault="00977BB2" w:rsidP="00DC57A5">
      <w:pPr>
        <w:spacing w:line="300" w:lineRule="atLeast"/>
        <w:rPr>
          <w:rFonts w:ascii="Segoe UI" w:hAnsi="Segoe UI" w:cs="Segoe UI"/>
          <w:sz w:val="21"/>
          <w:szCs w:val="21"/>
        </w:rPr>
      </w:pPr>
      <w:r>
        <w:rPr>
          <w:rFonts w:ascii="Segoe UI" w:hAnsi="Segoe UI" w:cs="Segoe UI"/>
          <w:sz w:val="21"/>
          <w:szCs w:val="21"/>
        </w:rPr>
        <w:pict w14:anchorId="4C3DA435">
          <v:rect id="_x0000_i1038" style="width:0;height:1.5pt" o:hralign="center" o:hrstd="t" o:hr="t" fillcolor="#a0a0a0" stroked="f"/>
        </w:pict>
      </w:r>
    </w:p>
    <w:p w14:paraId="173ACD6A"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b/>
          <w:bCs/>
          <w:sz w:val="21"/>
          <w:szCs w:val="21"/>
        </w:rPr>
        <w:t>Conclusion:</w:t>
      </w:r>
      <w:r w:rsidRPr="00DC57A5">
        <w:rPr>
          <w:rFonts w:ascii="Segoe UI" w:hAnsi="Segoe UI" w:cs="Segoe UI"/>
          <w:sz w:val="21"/>
          <w:szCs w:val="21"/>
        </w:rPr>
        <w:t xml:space="preserve"> Employee A’s performance in 2025 was exemplary, and by addressing the development areas above, he can elevate his leadership impact even further. These recommendations encourage him to </w:t>
      </w:r>
      <w:r w:rsidRPr="00DC57A5">
        <w:rPr>
          <w:rFonts w:ascii="Segoe UI" w:hAnsi="Segoe UI" w:cs="Segoe UI"/>
          <w:b/>
          <w:bCs/>
          <w:sz w:val="21"/>
          <w:szCs w:val="21"/>
        </w:rPr>
        <w:t>do more of what made him effective</w:t>
      </w:r>
      <w:r w:rsidRPr="00DC57A5">
        <w:rPr>
          <w:rFonts w:ascii="Segoe UI" w:hAnsi="Segoe UI" w:cs="Segoe UI"/>
          <w:sz w:val="21"/>
          <w:szCs w:val="21"/>
        </w:rPr>
        <w:t xml:space="preserve"> (empowering others, engaging partners, using data), </w:t>
      </w:r>
      <w:r w:rsidRPr="00DC57A5">
        <w:rPr>
          <w:rFonts w:ascii="Segoe UI" w:hAnsi="Segoe UI" w:cs="Segoe UI"/>
          <w:b/>
          <w:bCs/>
          <w:sz w:val="21"/>
          <w:szCs w:val="21"/>
        </w:rPr>
        <w:t>do less of what could hinder progress</w:t>
      </w:r>
      <w:r w:rsidRPr="00DC57A5">
        <w:rPr>
          <w:rFonts w:ascii="Segoe UI" w:hAnsi="Segoe UI" w:cs="Segoe UI"/>
          <w:sz w:val="21"/>
          <w:szCs w:val="21"/>
        </w:rPr>
        <w:t xml:space="preserve"> (overextending himself, assuming one-size-fits-all), and </w:t>
      </w:r>
      <w:r w:rsidRPr="00DC57A5">
        <w:rPr>
          <w:rFonts w:ascii="Segoe UI" w:hAnsi="Segoe UI" w:cs="Segoe UI"/>
          <w:b/>
          <w:bCs/>
          <w:sz w:val="21"/>
          <w:szCs w:val="21"/>
        </w:rPr>
        <w:t>build new skills for future challenges</w:t>
      </w:r>
      <w:r w:rsidRPr="00DC57A5">
        <w:rPr>
          <w:rFonts w:ascii="Segoe UI" w:hAnsi="Segoe UI" w:cs="Segoe UI"/>
          <w:sz w:val="21"/>
          <w:szCs w:val="21"/>
        </w:rPr>
        <w:t xml:space="preserve"> (strategic focus, cultural integration, influential communication, personal resilience). All are well-supported by the patterns observed in 2025 and closely aligned with TPC’s transformation objectives and values.</w:t>
      </w:r>
    </w:p>
    <w:p w14:paraId="45E72C95" w14:textId="77777777" w:rsidR="00DC57A5" w:rsidRPr="00DC57A5" w:rsidRDefault="00DC57A5" w:rsidP="00DC57A5">
      <w:pPr>
        <w:spacing w:before="100" w:beforeAutospacing="1" w:after="100" w:afterAutospacing="1" w:line="300" w:lineRule="atLeast"/>
        <w:rPr>
          <w:rFonts w:ascii="Segoe UI" w:hAnsi="Segoe UI" w:cs="Segoe UI"/>
          <w:sz w:val="21"/>
          <w:szCs w:val="21"/>
        </w:rPr>
      </w:pPr>
      <w:r w:rsidRPr="00DC57A5">
        <w:rPr>
          <w:rFonts w:ascii="Segoe UI" w:hAnsi="Segoe UI" w:cs="Segoe UI"/>
          <w:sz w:val="21"/>
          <w:szCs w:val="21"/>
        </w:rPr>
        <w:t xml:space="preserve">By implementing these improvements, Employee A will grow from being the chief architect of TPC’s transformation to becoming its </w:t>
      </w:r>
      <w:r w:rsidRPr="00DC57A5">
        <w:rPr>
          <w:rFonts w:ascii="Segoe UI" w:hAnsi="Segoe UI" w:cs="Segoe UI"/>
          <w:b/>
          <w:bCs/>
          <w:sz w:val="21"/>
          <w:szCs w:val="21"/>
        </w:rPr>
        <w:t>catalyst at scale</w:t>
      </w:r>
      <w:r w:rsidRPr="00DC57A5">
        <w:rPr>
          <w:rFonts w:ascii="Segoe UI" w:hAnsi="Segoe UI" w:cs="Segoe UI"/>
          <w:sz w:val="21"/>
          <w:szCs w:val="21"/>
        </w:rPr>
        <w:t xml:space="preserve"> – someone who not only drives change personally but also cultivates an environment where change thrives organically. This evolution is the natural next step in his quantum leadership journey. It will benefit TPC by ensuring the remarkable gains of 2025 are not only maintained but accelerated, as a stronger leadership cadre and a fully aligned global organization come together to capitalize on macro and technological shifts. In essence, investing in these development areas for Employee A is an investment in TPC’s continued success as a purpose-driven, future-ready enterprise.</w:t>
      </w:r>
      <w:hyperlink r:id="rId300" w:history="1">
        <w:r w:rsidRPr="00DC57A5">
          <w:rPr>
            <w:rFonts w:ascii="Segoe UI" w:hAnsi="Segoe UI" w:cs="Segoe UI"/>
            <w:color w:val="464FEB"/>
            <w:sz w:val="21"/>
            <w:szCs w:val="21"/>
          </w:rPr>
          <w:t>[2]</w:t>
        </w:r>
      </w:hyperlink>
      <w:hyperlink r:id="rId301" w:history="1">
        <w:r w:rsidRPr="00DC57A5">
          <w:rPr>
            <w:rFonts w:ascii="Segoe UI" w:hAnsi="Segoe UI" w:cs="Segoe UI"/>
            <w:color w:val="464FEB"/>
            <w:sz w:val="21"/>
            <w:szCs w:val="21"/>
          </w:rPr>
          <w:t>[7]</w:t>
        </w:r>
      </w:hyperlink>
    </w:p>
    <w:p w14:paraId="50A61822" w14:textId="77777777" w:rsidR="00DC57A5" w:rsidRPr="00DC57A5" w:rsidRDefault="00DC57A5" w:rsidP="00DC57A5">
      <w:pPr>
        <w:spacing w:line="300" w:lineRule="atLeast"/>
        <w:rPr>
          <w:rFonts w:ascii="Segoe UI Semibold" w:hAnsi="Segoe UI Semibold" w:cs="Segoe UI Semibold"/>
          <w:b/>
          <w:bCs/>
          <w:sz w:val="18"/>
          <w:szCs w:val="18"/>
        </w:rPr>
      </w:pPr>
      <w:r w:rsidRPr="00DC57A5">
        <w:rPr>
          <w:rFonts w:ascii="Segoe UI Semibold" w:hAnsi="Segoe UI Semibold" w:cs="Segoe UI Semibold"/>
          <w:b/>
          <w:bCs/>
          <w:sz w:val="18"/>
          <w:szCs w:val="18"/>
        </w:rPr>
        <w:br/>
        <w:t>References</w:t>
      </w:r>
    </w:p>
    <w:p w14:paraId="0EF8BF8C"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[1] </w:t>
      </w:r>
      <w:hyperlink r:id="rId302" w:history="1">
        <w:r w:rsidRPr="00DC57A5">
          <w:rPr>
            <w:rFonts w:ascii="Segoe UI" w:hAnsi="Segoe UI" w:cs="Segoe UI"/>
            <w:color w:val="464FEB"/>
            <w:sz w:val="21"/>
            <w:szCs w:val="21"/>
          </w:rPr>
          <w:t>Head of coaching Role Profile</w:t>
        </w:r>
      </w:hyperlink>
    </w:p>
    <w:p w14:paraId="77D9269D"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[2] </w:t>
      </w:r>
      <w:hyperlink r:id="rId303" w:history="1">
        <w:r w:rsidRPr="00DC57A5">
          <w:rPr>
            <w:rFonts w:ascii="Segoe UI" w:hAnsi="Segoe UI" w:cs="Segoe UI"/>
            <w:color w:val="464FEB"/>
            <w:sz w:val="21"/>
            <w:szCs w:val="21"/>
          </w:rPr>
          <w:t>Re: OCTAVE Institute Level 2 OKRs aligned with TPC and P&amp;O and MCs OKRs</w:t>
        </w:r>
      </w:hyperlink>
    </w:p>
    <w:p w14:paraId="60AB3D2F"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[3] </w:t>
      </w:r>
      <w:hyperlink r:id="rId304" w:history="1">
        <w:r w:rsidRPr="00DC57A5">
          <w:rPr>
            <w:rFonts w:ascii="Segoe UI" w:hAnsi="Segoe UI" w:cs="Segoe UI"/>
            <w:color w:val="464FEB"/>
            <w:sz w:val="21"/>
            <w:szCs w:val="21"/>
          </w:rPr>
          <w:t>RE: WEGA second milestone invoice to TPC</w:t>
        </w:r>
      </w:hyperlink>
    </w:p>
    <w:p w14:paraId="2457207F"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[4] </w:t>
      </w:r>
      <w:hyperlink r:id="rId305" w:history="1">
        <w:r w:rsidRPr="00DC57A5">
          <w:rPr>
            <w:rFonts w:ascii="Segoe UI" w:hAnsi="Segoe UI" w:cs="Segoe UI"/>
            <w:color w:val="464FEB"/>
            <w:sz w:val="21"/>
            <w:szCs w:val="21"/>
          </w:rPr>
          <w:t xml:space="preserve">Kenneth </w:t>
        </w:r>
        <w:proofErr w:type="spellStart"/>
        <w:r w:rsidRPr="00DC57A5">
          <w:rPr>
            <w:rFonts w:ascii="Segoe UI" w:hAnsi="Segoe UI" w:cs="Segoe UI"/>
            <w:color w:val="464FEB"/>
            <w:sz w:val="21"/>
            <w:szCs w:val="21"/>
          </w:rPr>
          <w:t>ePCG</w:t>
        </w:r>
        <w:proofErr w:type="spellEnd"/>
      </w:hyperlink>
    </w:p>
    <w:p w14:paraId="3D867B9B"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[5] </w:t>
      </w:r>
      <w:hyperlink r:id="rId306" w:history="1">
        <w:r w:rsidRPr="00DC57A5">
          <w:rPr>
            <w:rFonts w:ascii="Segoe UI" w:hAnsi="Segoe UI" w:cs="Segoe UI"/>
            <w:color w:val="464FEB"/>
            <w:sz w:val="21"/>
            <w:szCs w:val="21"/>
          </w:rPr>
          <w:t xml:space="preserve">OKR 2025 </w:t>
        </w:r>
        <w:proofErr w:type="spellStart"/>
        <w:r w:rsidRPr="00DC57A5">
          <w:rPr>
            <w:rFonts w:ascii="Segoe UI" w:hAnsi="Segoe UI" w:cs="Segoe UI"/>
            <w:color w:val="464FEB"/>
            <w:sz w:val="21"/>
            <w:szCs w:val="21"/>
          </w:rPr>
          <w:t>Kenneth_OCTAVE</w:t>
        </w:r>
        <w:proofErr w:type="spellEnd"/>
        <w:r w:rsidRPr="00DC57A5">
          <w:rPr>
            <w:rFonts w:ascii="Segoe UI" w:hAnsi="Segoe UI" w:cs="Segoe UI"/>
            <w:color w:val="464FEB"/>
            <w:sz w:val="21"/>
            <w:szCs w:val="21"/>
          </w:rPr>
          <w:t xml:space="preserve"> INS_APPROVED</w:t>
        </w:r>
      </w:hyperlink>
    </w:p>
    <w:p w14:paraId="6B40D07C"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[6] </w:t>
      </w:r>
      <w:hyperlink r:id="rId307" w:history="1">
        <w:r w:rsidRPr="00DC57A5">
          <w:rPr>
            <w:rFonts w:ascii="Microsoft YaHei" w:eastAsia="Microsoft YaHei" w:hAnsi="Microsoft YaHei" w:cs="Microsoft YaHei" w:hint="eastAsia"/>
            <w:color w:val="464FEB"/>
            <w:sz w:val="21"/>
            <w:szCs w:val="21"/>
          </w:rPr>
          <w:t>回复</w:t>
        </w:r>
        <w:r w:rsidRPr="00DC57A5">
          <w:rPr>
            <w:rFonts w:ascii="Segoe UI" w:hAnsi="Segoe UI" w:cs="Segoe UI"/>
            <w:color w:val="464FEB"/>
            <w:sz w:val="21"/>
            <w:szCs w:val="21"/>
          </w:rPr>
          <w:t>: 360 Feedback - your direct reports</w:t>
        </w:r>
      </w:hyperlink>
    </w:p>
    <w:p w14:paraId="308B0375"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[7] </w:t>
      </w:r>
      <w:hyperlink r:id="rId308" w:history="1">
        <w:r w:rsidRPr="00DC57A5">
          <w:rPr>
            <w:rFonts w:ascii="Segoe UI" w:hAnsi="Segoe UI" w:cs="Segoe UI"/>
            <w:color w:val="464FEB"/>
            <w:sz w:val="21"/>
            <w:szCs w:val="21"/>
          </w:rPr>
          <w:t>Re: FY2025 360 - List of Reviewers</w:t>
        </w:r>
      </w:hyperlink>
    </w:p>
    <w:p w14:paraId="6010743F"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[8] </w:t>
      </w:r>
      <w:hyperlink r:id="rId309" w:history="1">
        <w:r w:rsidRPr="00DC57A5">
          <w:rPr>
            <w:rFonts w:ascii="Segoe UI" w:hAnsi="Segoe UI" w:cs="Segoe UI"/>
            <w:color w:val="464FEB"/>
            <w:sz w:val="21"/>
            <w:szCs w:val="21"/>
          </w:rPr>
          <w:t>Re: [For comments] 360 Feedback email blast</w:t>
        </w:r>
      </w:hyperlink>
    </w:p>
    <w:p w14:paraId="72487F6F"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[9] </w:t>
      </w:r>
      <w:hyperlink r:id="rId310" w:history="1">
        <w:r w:rsidRPr="00DC57A5">
          <w:rPr>
            <w:rFonts w:ascii="Segoe UI" w:hAnsi="Segoe UI" w:cs="Segoe UI"/>
            <w:color w:val="464FEB"/>
            <w:sz w:val="21"/>
            <w:szCs w:val="21"/>
          </w:rPr>
          <w:t>Briefing for 360 Feedback - Slides and recording</w:t>
        </w:r>
      </w:hyperlink>
    </w:p>
    <w:p w14:paraId="624DAA67"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[10] </w:t>
      </w:r>
      <w:hyperlink r:id="rId311" w:history="1">
        <w:r w:rsidRPr="00DC57A5">
          <w:rPr>
            <w:rFonts w:ascii="Segoe UI" w:hAnsi="Segoe UI" w:cs="Segoe UI"/>
            <w:color w:val="464FEB"/>
            <w:sz w:val="21"/>
            <w:szCs w:val="21"/>
          </w:rPr>
          <w:t>Re: GMW7 Day 2</w:t>
        </w:r>
      </w:hyperlink>
    </w:p>
    <w:p w14:paraId="588F0C9B" w14:textId="77777777" w:rsidR="00DC57A5" w:rsidRPr="00DC57A5" w:rsidRDefault="00DC57A5" w:rsidP="00DC57A5">
      <w:pPr>
        <w:spacing w:line="300" w:lineRule="atLeast"/>
        <w:rPr>
          <w:rFonts w:ascii="Segoe UI" w:hAnsi="Segoe UI" w:cs="Segoe UI"/>
          <w:sz w:val="21"/>
          <w:szCs w:val="21"/>
        </w:rPr>
      </w:pPr>
      <w:r w:rsidRPr="00DC57A5">
        <w:rPr>
          <w:rFonts w:ascii="Segoe UI" w:hAnsi="Segoe UI" w:cs="Segoe UI"/>
          <w:sz w:val="21"/>
          <w:szCs w:val="21"/>
        </w:rPr>
        <w:t xml:space="preserve">[11] </w:t>
      </w:r>
      <w:hyperlink r:id="rId312" w:history="1">
        <w:r w:rsidRPr="00DC57A5">
          <w:rPr>
            <w:rFonts w:ascii="Segoe UI" w:hAnsi="Segoe UI" w:cs="Segoe UI"/>
            <w:color w:val="464FEB"/>
            <w:sz w:val="21"/>
            <w:szCs w:val="21"/>
          </w:rPr>
          <w:t xml:space="preserve">Role </w:t>
        </w:r>
        <w:proofErr w:type="spellStart"/>
        <w:r w:rsidRPr="00DC57A5">
          <w:rPr>
            <w:rFonts w:ascii="Segoe UI" w:hAnsi="Segoe UI" w:cs="Segoe UI"/>
            <w:color w:val="464FEB"/>
            <w:sz w:val="21"/>
            <w:szCs w:val="21"/>
          </w:rPr>
          <w:t>Profile_Dy</w:t>
        </w:r>
        <w:proofErr w:type="spellEnd"/>
        <w:r w:rsidRPr="00DC57A5">
          <w:rPr>
            <w:rFonts w:ascii="Segoe UI" w:hAnsi="Segoe UI" w:cs="Segoe UI"/>
            <w:color w:val="464FEB"/>
            <w:sz w:val="21"/>
            <w:szCs w:val="21"/>
          </w:rPr>
          <w:t xml:space="preserve"> ED OCTAVE Institute 3 July 2025</w:t>
        </w:r>
      </w:hyperlink>
    </w:p>
    <w:p w14:paraId="667DD85A" w14:textId="77777777" w:rsidR="00DC57A5" w:rsidRDefault="00DC57A5" w:rsidP="000A107E">
      <w:pPr>
        <w:autoSpaceDE w:val="0"/>
        <w:autoSpaceDN w:val="0"/>
        <w:adjustRightInd w:val="0"/>
        <w:rPr>
          <w:rFonts w:ascii="Inter" w:eastAsia="DengXian" w:hAnsi="Inter" w:cs="Inter"/>
          <w:color w:val="656565"/>
          <w:sz w:val="16"/>
          <w:szCs w:val="16"/>
          <w14:ligatures w14:val="standardContextual"/>
        </w:rPr>
      </w:pPr>
    </w:p>
    <w:p w14:paraId="3A71CC0D" w14:textId="77777777" w:rsidR="00DC57A5" w:rsidRDefault="00DC57A5" w:rsidP="000A107E">
      <w:pPr>
        <w:autoSpaceDE w:val="0"/>
        <w:autoSpaceDN w:val="0"/>
        <w:adjustRightInd w:val="0"/>
        <w:rPr>
          <w:rFonts w:ascii="Inter" w:eastAsia="DengXian" w:hAnsi="Inter" w:cs="Inter"/>
          <w:color w:val="656565"/>
          <w:sz w:val="16"/>
          <w:szCs w:val="16"/>
          <w14:ligatures w14:val="standardContextual"/>
        </w:rPr>
      </w:pPr>
    </w:p>
    <w:p w14:paraId="5D0D6197" w14:textId="77777777" w:rsidR="00B55182" w:rsidRPr="00B55182" w:rsidRDefault="00B55182" w:rsidP="00B55182">
      <w:pPr>
        <w:spacing w:before="100" w:beforeAutospacing="1" w:after="100" w:afterAutospacing="1" w:line="300" w:lineRule="atLeast"/>
        <w:rPr>
          <w:rFonts w:ascii="Segoe UI" w:hAnsi="Segoe UI" w:cs="Segoe UI"/>
          <w:sz w:val="21"/>
          <w:szCs w:val="21"/>
        </w:rPr>
      </w:pPr>
      <w:r w:rsidRPr="00B55182">
        <w:rPr>
          <w:rFonts w:ascii="Segoe UI" w:hAnsi="Segoe UI" w:cs="Segoe UI"/>
          <w:sz w:val="21"/>
          <w:szCs w:val="21"/>
        </w:rPr>
        <w:t>Certainly! Here's a concise summary of Employee A’s development areas based on his 2025 leadership performance:</w:t>
      </w:r>
    </w:p>
    <w:p w14:paraId="6565D2BE" w14:textId="77777777" w:rsidR="00B55182" w:rsidRPr="00B55182" w:rsidRDefault="00977BB2" w:rsidP="00B55182">
      <w:pPr>
        <w:spacing w:line="300" w:lineRule="atLeast"/>
        <w:rPr>
          <w:rFonts w:ascii="Segoe UI" w:hAnsi="Segoe UI" w:cs="Segoe UI"/>
          <w:sz w:val="21"/>
          <w:szCs w:val="21"/>
        </w:rPr>
      </w:pPr>
      <w:r>
        <w:rPr>
          <w:rFonts w:ascii="Segoe UI" w:hAnsi="Segoe UI" w:cs="Segoe UI"/>
          <w:sz w:val="21"/>
          <w:szCs w:val="21"/>
        </w:rPr>
        <w:pict w14:anchorId="6ED3695A">
          <v:rect id="_x0000_i1039" style="width:0;height:1.5pt" o:hralign="center" o:hrstd="t" o:hr="t" fillcolor="#a0a0a0" stroked="f"/>
        </w:pict>
      </w:r>
    </w:p>
    <w:p w14:paraId="0E52AAA7" w14:textId="77777777" w:rsidR="00B55182" w:rsidRPr="00B55182" w:rsidRDefault="00B55182" w:rsidP="00B55182">
      <w:pPr>
        <w:spacing w:before="100" w:beforeAutospacing="1" w:after="100" w:afterAutospacing="1" w:line="300" w:lineRule="atLeast"/>
        <w:outlineLvl w:val="2"/>
        <w:rPr>
          <w:rFonts w:ascii="Segoe UI" w:hAnsi="Segoe UI" w:cs="Segoe UI"/>
          <w:b/>
          <w:bCs/>
          <w:sz w:val="27"/>
          <w:szCs w:val="27"/>
        </w:rPr>
      </w:pPr>
      <w:r w:rsidRPr="00B55182">
        <w:rPr>
          <w:rFonts w:ascii="Segoe UI Emoji" w:hAnsi="Segoe UI Emoji" w:cs="Segoe UI Emoji"/>
          <w:b/>
          <w:bCs/>
          <w:sz w:val="27"/>
          <w:szCs w:val="27"/>
        </w:rPr>
        <w:t>🔼</w:t>
      </w:r>
      <w:r w:rsidRPr="00B55182">
        <w:rPr>
          <w:rFonts w:ascii="Segoe UI" w:hAnsi="Segoe UI" w:cs="Segoe UI"/>
          <w:b/>
          <w:bCs/>
          <w:sz w:val="27"/>
          <w:szCs w:val="27"/>
        </w:rPr>
        <w:t xml:space="preserve"> Do More Of:</w:t>
      </w:r>
    </w:p>
    <w:p w14:paraId="1469842A" w14:textId="77777777" w:rsidR="00B55182" w:rsidRPr="00B55182" w:rsidRDefault="00B55182" w:rsidP="00B55182">
      <w:pPr>
        <w:numPr>
          <w:ilvl w:val="0"/>
          <w:numId w:val="29"/>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Delegate and Empower</w:t>
      </w:r>
      <w:r w:rsidRPr="00B55182">
        <w:rPr>
          <w:rFonts w:ascii="Segoe UI" w:hAnsi="Segoe UI" w:cs="Segoe UI"/>
          <w:sz w:val="21"/>
          <w:szCs w:val="21"/>
        </w:rPr>
        <w:t>: Continue expanding team members’ roles (e.g. Facilitator A) to scale leadership capacity and avoid bottlenecks.</w:t>
      </w:r>
    </w:p>
    <w:p w14:paraId="2EFFFB47" w14:textId="77777777" w:rsidR="00B55182" w:rsidRPr="00B55182" w:rsidRDefault="00B55182" w:rsidP="00B55182">
      <w:pPr>
        <w:numPr>
          <w:ilvl w:val="0"/>
          <w:numId w:val="29"/>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Leverage External Partnerships</w:t>
      </w:r>
      <w:r w:rsidRPr="00B55182">
        <w:rPr>
          <w:rFonts w:ascii="Segoe UI" w:hAnsi="Segoe UI" w:cs="Segoe UI"/>
          <w:sz w:val="21"/>
          <w:szCs w:val="21"/>
        </w:rPr>
        <w:t xml:space="preserve">: Build on successful collaborations (e.g. NUS CGS, </w:t>
      </w:r>
      <w:proofErr w:type="spellStart"/>
      <w:r w:rsidRPr="00B55182">
        <w:rPr>
          <w:rFonts w:ascii="Segoe UI" w:hAnsi="Segoe UI" w:cs="Segoe UI"/>
          <w:sz w:val="21"/>
          <w:szCs w:val="21"/>
        </w:rPr>
        <w:t>OceanX</w:t>
      </w:r>
      <w:proofErr w:type="spellEnd"/>
      <w:r w:rsidRPr="00B55182">
        <w:rPr>
          <w:rFonts w:ascii="Segoe UI" w:hAnsi="Segoe UI" w:cs="Segoe UI"/>
          <w:sz w:val="21"/>
          <w:szCs w:val="21"/>
        </w:rPr>
        <w:t>) to co-create new programs and amplify TPC’s transformation.</w:t>
      </w:r>
    </w:p>
    <w:p w14:paraId="2D57993A" w14:textId="77777777" w:rsidR="00B55182" w:rsidRPr="00B55182" w:rsidRDefault="00B55182" w:rsidP="00B55182">
      <w:pPr>
        <w:numPr>
          <w:ilvl w:val="0"/>
          <w:numId w:val="29"/>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Use Data to Tell Impact Stories</w:t>
      </w:r>
      <w:r w:rsidRPr="00B55182">
        <w:rPr>
          <w:rFonts w:ascii="Segoe UI" w:hAnsi="Segoe UI" w:cs="Segoe UI"/>
          <w:sz w:val="21"/>
          <w:szCs w:val="21"/>
        </w:rPr>
        <w:t>: Strengthen data-backed storytelling to showcase transformation outcomes and secure stakeholder support.</w:t>
      </w:r>
    </w:p>
    <w:p w14:paraId="149E1606" w14:textId="77777777" w:rsidR="00B55182" w:rsidRPr="00B55182" w:rsidRDefault="00977BB2" w:rsidP="00B55182">
      <w:pPr>
        <w:spacing w:line="300" w:lineRule="atLeast"/>
        <w:rPr>
          <w:rFonts w:ascii="Segoe UI" w:hAnsi="Segoe UI" w:cs="Segoe UI"/>
          <w:sz w:val="21"/>
          <w:szCs w:val="21"/>
        </w:rPr>
      </w:pPr>
      <w:r>
        <w:rPr>
          <w:rFonts w:ascii="Segoe UI" w:hAnsi="Segoe UI" w:cs="Segoe UI"/>
          <w:sz w:val="21"/>
          <w:szCs w:val="21"/>
        </w:rPr>
        <w:pict w14:anchorId="3F7DA51F">
          <v:rect id="_x0000_i1040" style="width:0;height:1.5pt" o:hralign="center" o:hrstd="t" o:hr="t" fillcolor="#a0a0a0" stroked="f"/>
        </w:pict>
      </w:r>
    </w:p>
    <w:p w14:paraId="0FBF9064" w14:textId="77777777" w:rsidR="00B55182" w:rsidRPr="00B55182" w:rsidRDefault="00B55182" w:rsidP="00B55182">
      <w:pPr>
        <w:spacing w:before="100" w:beforeAutospacing="1" w:after="100" w:afterAutospacing="1" w:line="300" w:lineRule="atLeast"/>
        <w:outlineLvl w:val="2"/>
        <w:rPr>
          <w:rFonts w:ascii="Segoe UI" w:hAnsi="Segoe UI" w:cs="Segoe UI"/>
          <w:b/>
          <w:bCs/>
          <w:sz w:val="27"/>
          <w:szCs w:val="27"/>
        </w:rPr>
      </w:pPr>
      <w:r w:rsidRPr="00B55182">
        <w:rPr>
          <w:rFonts w:ascii="Segoe UI Emoji" w:hAnsi="Segoe UI Emoji" w:cs="Segoe UI Emoji"/>
          <w:b/>
          <w:bCs/>
          <w:sz w:val="27"/>
          <w:szCs w:val="27"/>
        </w:rPr>
        <w:t>🔽</w:t>
      </w:r>
      <w:r w:rsidRPr="00B55182">
        <w:rPr>
          <w:rFonts w:ascii="Segoe UI" w:hAnsi="Segoe UI" w:cs="Segoe UI"/>
          <w:b/>
          <w:bCs/>
          <w:sz w:val="27"/>
          <w:szCs w:val="27"/>
        </w:rPr>
        <w:t xml:space="preserve"> Do Less Of:</w:t>
      </w:r>
    </w:p>
    <w:p w14:paraId="4313063F" w14:textId="77777777" w:rsidR="00B55182" w:rsidRPr="00B55182" w:rsidRDefault="00B55182" w:rsidP="00B55182">
      <w:pPr>
        <w:numPr>
          <w:ilvl w:val="0"/>
          <w:numId w:val="30"/>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Overextending Himself</w:t>
      </w:r>
      <w:r w:rsidRPr="00B55182">
        <w:rPr>
          <w:rFonts w:ascii="Segoe UI" w:hAnsi="Segoe UI" w:cs="Segoe UI"/>
          <w:sz w:val="21"/>
          <w:szCs w:val="21"/>
        </w:rPr>
        <w:t>: Avoid taking on too many roles or tasks personally; focus on strategic oversight and let others lead execution.</w:t>
      </w:r>
    </w:p>
    <w:p w14:paraId="4BE38863" w14:textId="77777777" w:rsidR="00B55182" w:rsidRPr="00B55182" w:rsidRDefault="00B55182" w:rsidP="00B55182">
      <w:pPr>
        <w:numPr>
          <w:ilvl w:val="0"/>
          <w:numId w:val="30"/>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One-Size-Fits-All Rollouts</w:t>
      </w:r>
      <w:r w:rsidRPr="00B55182">
        <w:rPr>
          <w:rFonts w:ascii="Segoe UI" w:hAnsi="Segoe UI" w:cs="Segoe UI"/>
          <w:sz w:val="21"/>
          <w:szCs w:val="21"/>
        </w:rPr>
        <w:t>: Tailor initiatives to local contexts (e.g. China office feedback on 360° process) to improve relevance and buy-in.</w:t>
      </w:r>
    </w:p>
    <w:p w14:paraId="72F40E36" w14:textId="77777777" w:rsidR="00B55182" w:rsidRPr="00B55182" w:rsidRDefault="00B55182" w:rsidP="00B55182">
      <w:pPr>
        <w:numPr>
          <w:ilvl w:val="0"/>
          <w:numId w:val="30"/>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Rushed Communications</w:t>
      </w:r>
      <w:r w:rsidRPr="00B55182">
        <w:rPr>
          <w:rFonts w:ascii="Segoe UI" w:hAnsi="Segoe UI" w:cs="Segoe UI"/>
          <w:sz w:val="21"/>
          <w:szCs w:val="21"/>
        </w:rPr>
        <w:t>: Double-check messaging for clarity to prevent confusion and ensure smooth implementation.</w:t>
      </w:r>
    </w:p>
    <w:p w14:paraId="17D21C10" w14:textId="77777777" w:rsidR="00B55182" w:rsidRPr="00B55182" w:rsidRDefault="00977BB2" w:rsidP="00B55182">
      <w:pPr>
        <w:spacing w:line="300" w:lineRule="atLeast"/>
        <w:rPr>
          <w:rFonts w:ascii="Segoe UI" w:hAnsi="Segoe UI" w:cs="Segoe UI"/>
          <w:sz w:val="21"/>
          <w:szCs w:val="21"/>
        </w:rPr>
      </w:pPr>
      <w:r>
        <w:rPr>
          <w:rFonts w:ascii="Segoe UI" w:hAnsi="Segoe UI" w:cs="Segoe UI"/>
          <w:sz w:val="21"/>
          <w:szCs w:val="21"/>
        </w:rPr>
        <w:pict w14:anchorId="523460D1">
          <v:rect id="_x0000_i1041" style="width:0;height:1.5pt" o:hralign="center" o:hrstd="t" o:hr="t" fillcolor="#a0a0a0" stroked="f"/>
        </w:pict>
      </w:r>
    </w:p>
    <w:p w14:paraId="728B61C2" w14:textId="77777777" w:rsidR="00B55182" w:rsidRPr="00B55182" w:rsidRDefault="00B55182" w:rsidP="00B55182">
      <w:pPr>
        <w:spacing w:before="100" w:beforeAutospacing="1" w:after="100" w:afterAutospacing="1" w:line="300" w:lineRule="atLeast"/>
        <w:outlineLvl w:val="2"/>
        <w:rPr>
          <w:rFonts w:ascii="Segoe UI" w:hAnsi="Segoe UI" w:cs="Segoe UI"/>
          <w:b/>
          <w:bCs/>
          <w:sz w:val="27"/>
          <w:szCs w:val="27"/>
        </w:rPr>
      </w:pPr>
      <w:r w:rsidRPr="00B55182">
        <w:rPr>
          <w:rFonts w:ascii="Segoe UI Emoji" w:hAnsi="Segoe UI Emoji" w:cs="Segoe UI Emoji"/>
          <w:b/>
          <w:bCs/>
          <w:sz w:val="27"/>
          <w:szCs w:val="27"/>
        </w:rPr>
        <w:t>🧠</w:t>
      </w:r>
      <w:r w:rsidRPr="00B55182">
        <w:rPr>
          <w:rFonts w:ascii="Segoe UI" w:hAnsi="Segoe UI" w:cs="Segoe UI"/>
          <w:b/>
          <w:bCs/>
          <w:sz w:val="27"/>
          <w:szCs w:val="27"/>
        </w:rPr>
        <w:t xml:space="preserve"> Develop Further:</w:t>
      </w:r>
    </w:p>
    <w:p w14:paraId="68324869" w14:textId="77777777" w:rsidR="00B55182" w:rsidRPr="00B55182" w:rsidRDefault="00B55182" w:rsidP="00B55182">
      <w:pPr>
        <w:numPr>
          <w:ilvl w:val="0"/>
          <w:numId w:val="31"/>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Strategic Prioritization</w:t>
      </w:r>
      <w:r w:rsidRPr="00B55182">
        <w:rPr>
          <w:rFonts w:ascii="Segoe UI" w:hAnsi="Segoe UI" w:cs="Segoe UI"/>
          <w:sz w:val="21"/>
          <w:szCs w:val="21"/>
        </w:rPr>
        <w:t>: Sequence initiatives and focus on high-impact areas to avoid overload and improve execution depth.</w:t>
      </w:r>
    </w:p>
    <w:p w14:paraId="6C10C493" w14:textId="77777777" w:rsidR="00B55182" w:rsidRPr="00B55182" w:rsidRDefault="00B55182" w:rsidP="00B55182">
      <w:pPr>
        <w:numPr>
          <w:ilvl w:val="0"/>
          <w:numId w:val="31"/>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Cross-Cultural Integration</w:t>
      </w:r>
      <w:r w:rsidRPr="00B55182">
        <w:rPr>
          <w:rFonts w:ascii="Segoe UI" w:hAnsi="Segoe UI" w:cs="Segoe UI"/>
          <w:sz w:val="21"/>
          <w:szCs w:val="21"/>
        </w:rPr>
        <w:t>: Strengthen engagement with regional teams to unify TPC’s transformation across geographies.</w:t>
      </w:r>
    </w:p>
    <w:p w14:paraId="5A5232D6" w14:textId="77777777" w:rsidR="00B55182" w:rsidRPr="00B55182" w:rsidRDefault="00B55182" w:rsidP="00B55182">
      <w:pPr>
        <w:numPr>
          <w:ilvl w:val="0"/>
          <w:numId w:val="31"/>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Executive Communication &amp; Influence</w:t>
      </w:r>
      <w:r w:rsidRPr="00B55182">
        <w:rPr>
          <w:rFonts w:ascii="Segoe UI" w:hAnsi="Segoe UI" w:cs="Segoe UI"/>
          <w:sz w:val="21"/>
          <w:szCs w:val="21"/>
        </w:rPr>
        <w:t>: Refine messaging for senior stakeholders and external audiences to boost strategic impact.</w:t>
      </w:r>
    </w:p>
    <w:p w14:paraId="1E752A44" w14:textId="77777777" w:rsidR="00B55182" w:rsidRPr="00B55182" w:rsidRDefault="00B55182" w:rsidP="00B55182">
      <w:pPr>
        <w:numPr>
          <w:ilvl w:val="0"/>
          <w:numId w:val="31"/>
        </w:numPr>
        <w:spacing w:before="100" w:beforeAutospacing="1" w:after="100" w:afterAutospacing="1" w:line="300" w:lineRule="atLeast"/>
        <w:rPr>
          <w:rFonts w:ascii="Segoe UI" w:hAnsi="Segoe UI" w:cs="Segoe UI"/>
          <w:sz w:val="21"/>
          <w:szCs w:val="21"/>
        </w:rPr>
      </w:pPr>
      <w:r w:rsidRPr="00B55182">
        <w:rPr>
          <w:rFonts w:ascii="Segoe UI" w:hAnsi="Segoe UI" w:cs="Segoe UI"/>
          <w:b/>
          <w:bCs/>
          <w:sz w:val="21"/>
          <w:szCs w:val="21"/>
        </w:rPr>
        <w:t>Personal Resilience</w:t>
      </w:r>
      <w:r w:rsidRPr="00B55182">
        <w:rPr>
          <w:rFonts w:ascii="Segoe UI" w:hAnsi="Segoe UI" w:cs="Segoe UI"/>
          <w:sz w:val="21"/>
          <w:szCs w:val="21"/>
        </w:rPr>
        <w:t>: Maintain well-being through mindful pacing and recovery to sustain leadership energy and model healthy culture.</w:t>
      </w:r>
    </w:p>
    <w:p w14:paraId="0FE3231C" w14:textId="77777777" w:rsidR="00B55182" w:rsidRPr="00B55182" w:rsidRDefault="00977BB2" w:rsidP="00B55182">
      <w:pPr>
        <w:spacing w:line="300" w:lineRule="atLeast"/>
        <w:rPr>
          <w:rFonts w:ascii="Segoe UI" w:hAnsi="Segoe UI" w:cs="Segoe UI"/>
          <w:sz w:val="21"/>
          <w:szCs w:val="21"/>
        </w:rPr>
      </w:pPr>
      <w:r>
        <w:rPr>
          <w:rFonts w:ascii="Segoe UI" w:hAnsi="Segoe UI" w:cs="Segoe UI"/>
          <w:sz w:val="21"/>
          <w:szCs w:val="21"/>
        </w:rPr>
        <w:pict w14:anchorId="3E730180">
          <v:rect id="_x0000_i1042" style="width:0;height:1.5pt" o:hralign="center" o:hrstd="t" o:hr="t" fillcolor="#a0a0a0" stroked="f"/>
        </w:pict>
      </w:r>
    </w:p>
    <w:p w14:paraId="17C6A9B0" w14:textId="77777777" w:rsidR="00B55182" w:rsidRPr="00B55182" w:rsidRDefault="00B55182" w:rsidP="00B55182">
      <w:pPr>
        <w:spacing w:before="100" w:beforeAutospacing="1" w:after="100" w:afterAutospacing="1" w:line="300" w:lineRule="atLeast"/>
        <w:rPr>
          <w:rFonts w:ascii="Segoe UI" w:hAnsi="Segoe UI" w:cs="Segoe UI"/>
          <w:sz w:val="21"/>
          <w:szCs w:val="21"/>
        </w:rPr>
      </w:pPr>
      <w:r w:rsidRPr="00B55182">
        <w:rPr>
          <w:rFonts w:ascii="Segoe UI" w:hAnsi="Segoe UI" w:cs="Segoe UI"/>
          <w:sz w:val="21"/>
          <w:szCs w:val="21"/>
        </w:rPr>
        <w:t>Would you like a visual dashboard or leadership development tracker based on these themes? Or a follow-up on how these areas align with TPC’s 2026 goals?</w:t>
      </w:r>
    </w:p>
    <w:p w14:paraId="3C5B1283" w14:textId="77777777" w:rsidR="00DC57A5" w:rsidRDefault="00DC57A5" w:rsidP="000A107E">
      <w:pPr>
        <w:autoSpaceDE w:val="0"/>
        <w:autoSpaceDN w:val="0"/>
        <w:adjustRightInd w:val="0"/>
        <w:rPr>
          <w:rFonts w:ascii="Inter" w:eastAsia="DengXian" w:hAnsi="Inter" w:cs="Inter"/>
          <w:color w:val="656565"/>
          <w:sz w:val="16"/>
          <w:szCs w:val="16"/>
          <w14:ligatures w14:val="standardContextual"/>
        </w:rPr>
      </w:pPr>
    </w:p>
    <w:p w14:paraId="66DF8261" w14:textId="77777777" w:rsidR="00DC57A5" w:rsidRPr="000A107E" w:rsidRDefault="00DC57A5" w:rsidP="000A107E">
      <w:pPr>
        <w:autoSpaceDE w:val="0"/>
        <w:autoSpaceDN w:val="0"/>
        <w:adjustRightInd w:val="0"/>
        <w:rPr>
          <w:rFonts w:ascii="Inter" w:eastAsia="DengXian" w:hAnsi="Inter" w:cs="Inter"/>
          <w:color w:val="656565"/>
          <w:sz w:val="16"/>
          <w:szCs w:val="16"/>
          <w14:ligatures w14:val="standardContextual"/>
        </w:rPr>
      </w:pPr>
    </w:p>
    <w:p w14:paraId="78EA9F7F" w14:textId="77777777" w:rsidR="000A107E" w:rsidRPr="000A107E" w:rsidRDefault="000A107E" w:rsidP="000A107E">
      <w:pPr>
        <w:autoSpaceDE w:val="0"/>
        <w:autoSpaceDN w:val="0"/>
        <w:adjustRightInd w:val="0"/>
        <w:rPr>
          <w:rFonts w:ascii="Inter Medium" w:eastAsia="DengXian" w:hAnsi="Inter Medium" w:cs="Inter Medium"/>
          <w:color w:val="323232"/>
          <w:sz w:val="27"/>
          <w:szCs w:val="27"/>
          <w14:ligatures w14:val="standardContextual"/>
        </w:rPr>
      </w:pPr>
      <w:r w:rsidRPr="000A107E">
        <w:rPr>
          <w:rFonts w:ascii="Inter Medium" w:eastAsia="DengXian" w:hAnsi="Inter Medium" w:cs="Inter Medium"/>
          <w:color w:val="323232"/>
          <w:sz w:val="27"/>
          <w:szCs w:val="27"/>
          <w14:ligatures w14:val="standardContextual"/>
        </w:rPr>
        <w:t>SECTION E: OVERALL SUMMARY OF CONTRIBUTIONS</w:t>
      </w:r>
    </w:p>
    <w:p w14:paraId="03E39BD0" w14:textId="77777777" w:rsidR="00AF6232" w:rsidRPr="00AF6232" w:rsidRDefault="00AF6232" w:rsidP="00AF6232">
      <w:pPr>
        <w:spacing w:before="100" w:beforeAutospacing="1" w:after="100" w:afterAutospacing="1" w:line="300" w:lineRule="atLeast"/>
        <w:outlineLvl w:val="0"/>
        <w:rPr>
          <w:rFonts w:ascii="Segoe UI" w:hAnsi="Segoe UI" w:cs="Segoe UI"/>
          <w:b/>
          <w:bCs/>
          <w:kern w:val="36"/>
          <w:sz w:val="48"/>
          <w:szCs w:val="48"/>
        </w:rPr>
      </w:pPr>
      <w:r w:rsidRPr="00AF6232">
        <w:rPr>
          <w:rFonts w:ascii="Segoe UI" w:hAnsi="Segoe UI" w:cs="Segoe UI"/>
          <w:b/>
          <w:bCs/>
          <w:kern w:val="36"/>
          <w:sz w:val="48"/>
          <w:szCs w:val="48"/>
        </w:rPr>
        <w:t>Employee A – 2025 Contribution and Performance Summary</w:t>
      </w:r>
    </w:p>
    <w:p w14:paraId="4DDD281E" w14:textId="77777777" w:rsidR="00AF6232" w:rsidRPr="00AF6232" w:rsidRDefault="00AF6232" w:rsidP="00AF6232">
      <w:pPr>
        <w:spacing w:before="100" w:beforeAutospacing="1" w:after="100" w:afterAutospacing="1" w:line="300" w:lineRule="atLeast"/>
        <w:outlineLvl w:val="1"/>
        <w:rPr>
          <w:rFonts w:ascii="Segoe UI" w:hAnsi="Segoe UI" w:cs="Segoe UI"/>
          <w:b/>
          <w:bCs/>
          <w:sz w:val="36"/>
          <w:szCs w:val="36"/>
        </w:rPr>
      </w:pPr>
      <w:r w:rsidRPr="00AF6232">
        <w:rPr>
          <w:rFonts w:ascii="Segoe UI" w:hAnsi="Segoe UI" w:cs="Segoe UI"/>
          <w:b/>
          <w:bCs/>
          <w:sz w:val="36"/>
          <w:szCs w:val="36"/>
        </w:rPr>
        <w:t>Contribution Overview</w:t>
      </w:r>
    </w:p>
    <w:p w14:paraId="3858F186"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In </w:t>
      </w:r>
      <w:r w:rsidRPr="00AF6232">
        <w:rPr>
          <w:rFonts w:ascii="Segoe UI" w:hAnsi="Segoe UI" w:cs="Segoe UI"/>
          <w:b/>
          <w:bCs/>
          <w:sz w:val="21"/>
          <w:szCs w:val="21"/>
        </w:rPr>
        <w:t>2025</w:t>
      </w:r>
      <w:r w:rsidRPr="00AF6232">
        <w:rPr>
          <w:rFonts w:ascii="Segoe UI" w:hAnsi="Segoe UI" w:cs="Segoe UI"/>
          <w:sz w:val="21"/>
          <w:szCs w:val="21"/>
        </w:rPr>
        <w:t xml:space="preserve">, </w:t>
      </w:r>
      <w:hyperlink r:id="rId313" w:history="1">
        <w:r w:rsidRPr="00AF6232">
          <w:rPr>
            <w:rFonts w:ascii="Segoe UI" w:hAnsi="Segoe UI" w:cs="Segoe UI"/>
            <w:color w:val="464FEB"/>
            <w:sz w:val="21"/>
            <w:szCs w:val="21"/>
          </w:rPr>
          <w:t>Kenneth Tan</w:t>
        </w:r>
      </w:hyperlink>
      <w:r w:rsidRPr="00AF6232">
        <w:rPr>
          <w:rFonts w:ascii="Segoe UI" w:hAnsi="Segoe UI" w:cs="Segoe UI"/>
          <w:sz w:val="21"/>
          <w:szCs w:val="21"/>
        </w:rPr>
        <w:t xml:space="preserve"> made significant contributions to TPC’s transformation agenda. As Deputy Executive Director of Octave Institute, Employee A </w:t>
      </w:r>
      <w:r w:rsidRPr="00AF6232">
        <w:rPr>
          <w:rFonts w:ascii="Segoe UI" w:hAnsi="Segoe UI" w:cs="Segoe UI"/>
          <w:b/>
          <w:bCs/>
          <w:sz w:val="21"/>
          <w:szCs w:val="21"/>
        </w:rPr>
        <w:t>spearheaded key initiatives</w:t>
      </w:r>
      <w:r w:rsidRPr="00AF6232">
        <w:rPr>
          <w:rFonts w:ascii="Segoe UI" w:hAnsi="Segoe UI" w:cs="Segoe UI"/>
          <w:sz w:val="21"/>
          <w:szCs w:val="21"/>
        </w:rPr>
        <w:t xml:space="preserve"> that advanced the group’s strategy of leveraging technology and culture for growth:</w:t>
      </w:r>
    </w:p>
    <w:p w14:paraId="4736675D" w14:textId="77777777" w:rsidR="00AF6232" w:rsidRPr="00AF6232" w:rsidRDefault="00AF6232" w:rsidP="00AF6232">
      <w:pPr>
        <w:numPr>
          <w:ilvl w:val="0"/>
          <w:numId w:val="32"/>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Digital &amp; AI Transformation:</w:t>
      </w:r>
      <w:r w:rsidRPr="00AF6232">
        <w:rPr>
          <w:rFonts w:ascii="Segoe UI" w:hAnsi="Segoe UI" w:cs="Segoe UI"/>
          <w:sz w:val="21"/>
          <w:szCs w:val="21"/>
        </w:rPr>
        <w:t xml:space="preserve"> Employee A was </w:t>
      </w:r>
      <w:r w:rsidRPr="00AF6232">
        <w:rPr>
          <w:rFonts w:ascii="Segoe UI" w:hAnsi="Segoe UI" w:cs="Segoe UI"/>
          <w:i/>
          <w:iCs/>
          <w:sz w:val="21"/>
          <w:szCs w:val="21"/>
        </w:rPr>
        <w:t>“instrumental in driving the organization's mindset transformation towards AI adoption”</w:t>
      </w:r>
      <w:hyperlink r:id="rId314" w:history="1">
        <w:r w:rsidRPr="00AF6232">
          <w:rPr>
            <w:rFonts w:ascii="Segoe UI" w:hAnsi="Segoe UI" w:cs="Segoe UI"/>
            <w:color w:val="464FEB"/>
            <w:sz w:val="21"/>
            <w:szCs w:val="21"/>
          </w:rPr>
          <w:t>[1]</w:t>
        </w:r>
      </w:hyperlink>
      <w:r w:rsidRPr="00AF6232">
        <w:rPr>
          <w:rFonts w:ascii="Segoe UI" w:hAnsi="Segoe UI" w:cs="Segoe UI"/>
          <w:sz w:val="21"/>
          <w:szCs w:val="21"/>
        </w:rPr>
        <w:t xml:space="preserve">. He led the rollout of an </w:t>
      </w:r>
      <w:r w:rsidRPr="00AF6232">
        <w:rPr>
          <w:rFonts w:ascii="Segoe UI" w:hAnsi="Segoe UI" w:cs="Segoe UI"/>
          <w:b/>
          <w:bCs/>
          <w:sz w:val="21"/>
          <w:szCs w:val="21"/>
        </w:rPr>
        <w:t>AI-driven performance management system</w:t>
      </w:r>
      <w:r w:rsidRPr="00AF6232">
        <w:rPr>
          <w:rFonts w:ascii="Segoe UI" w:hAnsi="Segoe UI" w:cs="Segoe UI"/>
          <w:sz w:val="21"/>
          <w:szCs w:val="21"/>
        </w:rPr>
        <w:t xml:space="preserve">, consolidating employee data (the “4D” digital twin model) and integrating it with OKRs and feedback processes. He also championed process automation – by mid-2025, </w:t>
      </w:r>
      <w:r w:rsidRPr="00AF6232">
        <w:rPr>
          <w:rFonts w:ascii="Segoe UI" w:hAnsi="Segoe UI" w:cs="Segoe UI"/>
          <w:b/>
          <w:bCs/>
          <w:sz w:val="21"/>
          <w:szCs w:val="21"/>
        </w:rPr>
        <w:t>24 internal workflows were digitized</w:t>
      </w:r>
      <w:r w:rsidRPr="00AF6232">
        <w:rPr>
          <w:rFonts w:ascii="Segoe UI" w:hAnsi="Segoe UI" w:cs="Segoe UI"/>
          <w:sz w:val="21"/>
          <w:szCs w:val="21"/>
        </w:rPr>
        <w:t xml:space="preserve"> under his guidance, boosting efficiency. These efforts entrenched a data-driven culture in TPC’s operations. Niap Juan commended Employee A for </w:t>
      </w:r>
      <w:r w:rsidRPr="00AF6232">
        <w:rPr>
          <w:rFonts w:ascii="Segoe UI" w:hAnsi="Segoe UI" w:cs="Segoe UI"/>
          <w:i/>
          <w:iCs/>
          <w:sz w:val="21"/>
          <w:szCs w:val="21"/>
        </w:rPr>
        <w:t>“pushing that part of [the transformation] in”</w:t>
      </w:r>
      <w:hyperlink r:id="rId315" w:history="1">
        <w:r w:rsidRPr="00AF6232">
          <w:rPr>
            <w:rFonts w:ascii="Segoe UI" w:hAnsi="Segoe UI" w:cs="Segoe UI"/>
            <w:color w:val="464FEB"/>
            <w:sz w:val="21"/>
            <w:szCs w:val="21"/>
          </w:rPr>
          <w:t>[2]</w:t>
        </w:r>
      </w:hyperlink>
      <w:r w:rsidRPr="00AF6232">
        <w:rPr>
          <w:rFonts w:ascii="Segoe UI" w:hAnsi="Segoe UI" w:cs="Segoe UI"/>
          <w:sz w:val="21"/>
          <w:szCs w:val="21"/>
        </w:rPr>
        <w:t xml:space="preserve">, recognizing that infusing AI from the ground up is typically a multi-year </w:t>
      </w:r>
      <w:proofErr w:type="spellStart"/>
      <w:r w:rsidRPr="00AF6232">
        <w:rPr>
          <w:rFonts w:ascii="Segoe UI" w:hAnsi="Segoe UI" w:cs="Segoe UI"/>
          <w:sz w:val="21"/>
          <w:szCs w:val="21"/>
        </w:rPr>
        <w:t>endeavor</w:t>
      </w:r>
      <w:proofErr w:type="spellEnd"/>
      <w:r w:rsidRPr="00AF6232">
        <w:rPr>
          <w:rFonts w:ascii="Segoe UI" w:hAnsi="Segoe UI" w:cs="Segoe UI"/>
          <w:sz w:val="21"/>
          <w:szCs w:val="21"/>
        </w:rPr>
        <w:t xml:space="preserve"> that Employee A tackled in a short span.</w:t>
      </w:r>
    </w:p>
    <w:p w14:paraId="0D2831C8" w14:textId="77777777" w:rsidR="00AF6232" w:rsidRPr="00AF6232" w:rsidRDefault="00AF6232" w:rsidP="00AF6232">
      <w:pPr>
        <w:numPr>
          <w:ilvl w:val="0"/>
          <w:numId w:val="32"/>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Leadership &amp; Culture Programs:</w:t>
      </w:r>
      <w:r w:rsidRPr="00AF6232">
        <w:rPr>
          <w:rFonts w:ascii="Segoe UI" w:hAnsi="Segoe UI" w:cs="Segoe UI"/>
          <w:sz w:val="21"/>
          <w:szCs w:val="21"/>
        </w:rPr>
        <w:t xml:space="preserve"> As a core architect of TPC’s cultural evolution, Employee A launched and ran flagship programs to develop leaders and embed the </w:t>
      </w:r>
      <w:r w:rsidRPr="00AF6232">
        <w:rPr>
          <w:rFonts w:ascii="Segoe UI" w:hAnsi="Segoe UI" w:cs="Segoe UI"/>
          <w:b/>
          <w:bCs/>
          <w:sz w:val="21"/>
          <w:szCs w:val="21"/>
        </w:rPr>
        <w:t>Well-Being Mandate</w:t>
      </w:r>
      <w:r w:rsidRPr="00AF6232">
        <w:rPr>
          <w:rFonts w:ascii="Segoe UI" w:hAnsi="Segoe UI" w:cs="Segoe UI"/>
          <w:sz w:val="21"/>
          <w:szCs w:val="21"/>
        </w:rPr>
        <w:t xml:space="preserve">. He led the </w:t>
      </w:r>
      <w:r w:rsidRPr="00AF6232">
        <w:rPr>
          <w:rFonts w:ascii="Segoe UI" w:hAnsi="Segoe UI" w:cs="Segoe UI"/>
          <w:b/>
          <w:bCs/>
          <w:sz w:val="21"/>
          <w:szCs w:val="21"/>
        </w:rPr>
        <w:t>Quantum Leadership Framing Program (QLFP)</w:t>
      </w:r>
      <w:r w:rsidRPr="00AF6232">
        <w:rPr>
          <w:rFonts w:ascii="Segoe UI" w:hAnsi="Segoe UI" w:cs="Segoe UI"/>
          <w:sz w:val="21"/>
          <w:szCs w:val="21"/>
        </w:rPr>
        <w:t xml:space="preserve"> to equip senior managers with systems thinking and resilience, and facilitated </w:t>
      </w:r>
      <w:r w:rsidRPr="00AF6232">
        <w:rPr>
          <w:rFonts w:ascii="Segoe UI" w:hAnsi="Segoe UI" w:cs="Segoe UI"/>
          <w:b/>
          <w:bCs/>
          <w:sz w:val="21"/>
          <w:szCs w:val="21"/>
        </w:rPr>
        <w:t>Good Management Workshops</w:t>
      </w:r>
      <w:r w:rsidRPr="00AF6232">
        <w:rPr>
          <w:rFonts w:ascii="Segoe UI" w:hAnsi="Segoe UI" w:cs="Segoe UI"/>
          <w:sz w:val="21"/>
          <w:szCs w:val="21"/>
        </w:rPr>
        <w:t xml:space="preserve"> that instilled the desired mindsets of Awareness, Alignment, Collaboration, and Co-creation. He also implemented the new </w:t>
      </w:r>
      <w:proofErr w:type="spellStart"/>
      <w:r w:rsidRPr="00AF6232">
        <w:rPr>
          <w:rFonts w:ascii="Segoe UI" w:hAnsi="Segoe UI" w:cs="Segoe UI"/>
          <w:b/>
          <w:bCs/>
          <w:sz w:val="21"/>
          <w:szCs w:val="21"/>
        </w:rPr>
        <w:t>ePCG</w:t>
      </w:r>
      <w:proofErr w:type="spellEnd"/>
      <w:r w:rsidRPr="00AF6232">
        <w:rPr>
          <w:rFonts w:ascii="Segoe UI" w:hAnsi="Segoe UI" w:cs="Segoe UI"/>
          <w:sz w:val="21"/>
          <w:szCs w:val="21"/>
        </w:rPr>
        <w:t xml:space="preserve"> (Performance, Contribution &amp; Growth) appraisal system and TPC’s first </w:t>
      </w:r>
      <w:r w:rsidRPr="00AF6232">
        <w:rPr>
          <w:rFonts w:ascii="Segoe UI" w:hAnsi="Segoe UI" w:cs="Segoe UI"/>
          <w:b/>
          <w:bCs/>
          <w:sz w:val="21"/>
          <w:szCs w:val="21"/>
        </w:rPr>
        <w:t>360° feedback</w:t>
      </w:r>
      <w:r w:rsidRPr="00AF6232">
        <w:rPr>
          <w:rFonts w:ascii="Segoe UI" w:hAnsi="Segoe UI" w:cs="Segoe UI"/>
          <w:sz w:val="21"/>
          <w:szCs w:val="21"/>
        </w:rPr>
        <w:t xml:space="preserve"> exercise. These programs improved leadership alignment and self-awareness across the group. Niap Juan noted Employee A’s strength in employee engagement – he could </w:t>
      </w:r>
      <w:r w:rsidRPr="00AF6232">
        <w:rPr>
          <w:rFonts w:ascii="Segoe UI" w:hAnsi="Segoe UI" w:cs="Segoe UI"/>
          <w:i/>
          <w:iCs/>
          <w:sz w:val="21"/>
          <w:szCs w:val="21"/>
        </w:rPr>
        <w:t>“get people onto quantum leadership [concepts]”</w:t>
      </w:r>
      <w:r w:rsidRPr="00AF6232">
        <w:rPr>
          <w:rFonts w:ascii="Segoe UI" w:hAnsi="Segoe UI" w:cs="Segoe UI"/>
          <w:sz w:val="21"/>
          <w:szCs w:val="21"/>
        </w:rPr>
        <w:t xml:space="preserve"> and translate the Group’s philosophy into </w:t>
      </w:r>
      <w:r w:rsidRPr="00AF6232">
        <w:rPr>
          <w:rFonts w:ascii="Segoe UI" w:hAnsi="Segoe UI" w:cs="Segoe UI"/>
          <w:i/>
          <w:iCs/>
          <w:sz w:val="21"/>
          <w:szCs w:val="21"/>
        </w:rPr>
        <w:t>“bite-size”</w:t>
      </w:r>
      <w:r w:rsidRPr="00AF6232">
        <w:rPr>
          <w:rFonts w:ascii="Segoe UI" w:hAnsi="Segoe UI" w:cs="Segoe UI"/>
          <w:sz w:val="21"/>
          <w:szCs w:val="21"/>
        </w:rPr>
        <w:t>, accessible language</w:t>
      </w:r>
      <w:hyperlink r:id="rId316" w:history="1">
        <w:r w:rsidRPr="00AF6232">
          <w:rPr>
            <w:rFonts w:ascii="Segoe UI" w:hAnsi="Segoe UI" w:cs="Segoe UI"/>
            <w:color w:val="464FEB"/>
            <w:sz w:val="21"/>
            <w:szCs w:val="21"/>
          </w:rPr>
          <w:t>[2]</w:t>
        </w:r>
      </w:hyperlink>
      <w:r w:rsidRPr="00AF6232">
        <w:rPr>
          <w:rFonts w:ascii="Segoe UI" w:hAnsi="Segoe UI" w:cs="Segoe UI"/>
          <w:sz w:val="21"/>
          <w:szCs w:val="21"/>
        </w:rPr>
        <w:t>. This communication skill helped employees connect with TPC’s vision and embrace new initiatives.</w:t>
      </w:r>
    </w:p>
    <w:p w14:paraId="5A0A74B6" w14:textId="77777777" w:rsidR="00AF6232" w:rsidRPr="00AF6232" w:rsidRDefault="00AF6232" w:rsidP="00AF6232">
      <w:pPr>
        <w:numPr>
          <w:ilvl w:val="0"/>
          <w:numId w:val="32"/>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Social Transformation Project (STP):</w:t>
      </w:r>
      <w:r w:rsidRPr="00AF6232">
        <w:rPr>
          <w:rFonts w:ascii="Segoe UI" w:hAnsi="Segoe UI" w:cs="Segoe UI"/>
          <w:sz w:val="21"/>
          <w:szCs w:val="21"/>
        </w:rPr>
        <w:t xml:space="preserve"> Employee A took charge of a pioneering social impact initiative aimed at community well-being. He drove the </w:t>
      </w:r>
      <w:r w:rsidRPr="00AF6232">
        <w:rPr>
          <w:rFonts w:ascii="Segoe UI" w:hAnsi="Segoe UI" w:cs="Segoe UI"/>
          <w:b/>
          <w:bCs/>
          <w:sz w:val="21"/>
          <w:szCs w:val="21"/>
        </w:rPr>
        <w:t>Social Transformation Project</w:t>
      </w:r>
      <w:r w:rsidRPr="00AF6232">
        <w:rPr>
          <w:rFonts w:ascii="Segoe UI" w:hAnsi="Segoe UI" w:cs="Segoe UI"/>
          <w:sz w:val="21"/>
          <w:szCs w:val="21"/>
        </w:rPr>
        <w:t xml:space="preserve"> from “zero to one,” forging partnerships with external stakeholders. He engaged a Cabinet Minister (Dr. Maliki) and coordinated across </w:t>
      </w:r>
      <w:r w:rsidRPr="00AF6232">
        <w:rPr>
          <w:rFonts w:ascii="Segoe UI" w:hAnsi="Segoe UI" w:cs="Segoe UI"/>
          <w:i/>
          <w:iCs/>
          <w:sz w:val="21"/>
          <w:szCs w:val="21"/>
        </w:rPr>
        <w:t>“five different ministries”</w:t>
      </w:r>
      <w:r w:rsidRPr="00AF6232">
        <w:rPr>
          <w:rFonts w:ascii="Segoe UI" w:hAnsi="Segoe UI" w:cs="Segoe UI"/>
          <w:sz w:val="21"/>
          <w:szCs w:val="21"/>
        </w:rPr>
        <w:t xml:space="preserve"> to align on project goals</w:t>
      </w:r>
      <w:hyperlink r:id="rId317" w:history="1">
        <w:r w:rsidRPr="00AF6232">
          <w:rPr>
            <w:rFonts w:ascii="Segoe UI" w:hAnsi="Segoe UI" w:cs="Segoe UI"/>
            <w:color w:val="464FEB"/>
            <w:sz w:val="21"/>
            <w:szCs w:val="21"/>
          </w:rPr>
          <w:t>[2]</w:t>
        </w:r>
      </w:hyperlink>
      <w:r w:rsidRPr="00AF6232">
        <w:rPr>
          <w:rFonts w:ascii="Segoe UI" w:hAnsi="Segoe UI" w:cs="Segoe UI"/>
          <w:sz w:val="21"/>
          <w:szCs w:val="21"/>
        </w:rPr>
        <w:t xml:space="preserve">. By late 2025, STP had moved from concept to a pilot phase, largely due to Employee A’s persistent advocacy and network-building. Loh Niap Juan credited Employee A for this, stating it was </w:t>
      </w:r>
      <w:r w:rsidRPr="00AF6232">
        <w:rPr>
          <w:rFonts w:ascii="Segoe UI" w:hAnsi="Segoe UI" w:cs="Segoe UI"/>
          <w:i/>
          <w:iCs/>
          <w:sz w:val="21"/>
          <w:szCs w:val="21"/>
        </w:rPr>
        <w:t>“a small step, but the hardest step”</w:t>
      </w:r>
      <w:r w:rsidRPr="00AF6232">
        <w:rPr>
          <w:rFonts w:ascii="Segoe UI" w:hAnsi="Segoe UI" w:cs="Segoe UI"/>
          <w:sz w:val="21"/>
          <w:szCs w:val="21"/>
        </w:rPr>
        <w:t xml:space="preserve"> to bring multiple agencies on board</w:t>
      </w:r>
      <w:hyperlink r:id="rId318" w:history="1">
        <w:r w:rsidRPr="00AF6232">
          <w:rPr>
            <w:rFonts w:ascii="Segoe UI" w:hAnsi="Segoe UI" w:cs="Segoe UI"/>
            <w:color w:val="464FEB"/>
            <w:sz w:val="21"/>
            <w:szCs w:val="21"/>
          </w:rPr>
          <w:t>[2]</w:t>
        </w:r>
      </w:hyperlink>
      <w:r w:rsidRPr="00AF6232">
        <w:rPr>
          <w:rFonts w:ascii="Segoe UI" w:hAnsi="Segoe UI" w:cs="Segoe UI"/>
          <w:sz w:val="21"/>
          <w:szCs w:val="21"/>
        </w:rPr>
        <w:t>. Employee A’s ability to bridge external and internal elements – essentially serving as a liaison between TPC and broader society – was highlighted as a key strength</w:t>
      </w:r>
      <w:hyperlink r:id="rId319" w:history="1">
        <w:r w:rsidRPr="00AF6232">
          <w:rPr>
            <w:rFonts w:ascii="Segoe UI" w:hAnsi="Segoe UI" w:cs="Segoe UI"/>
            <w:color w:val="464FEB"/>
            <w:sz w:val="21"/>
            <w:szCs w:val="21"/>
          </w:rPr>
          <w:t>[1]</w:t>
        </w:r>
      </w:hyperlink>
      <w:r w:rsidRPr="00AF6232">
        <w:rPr>
          <w:rFonts w:ascii="Segoe UI" w:hAnsi="Segoe UI" w:cs="Segoe UI"/>
          <w:sz w:val="21"/>
          <w:szCs w:val="21"/>
        </w:rPr>
        <w:t>.</w:t>
      </w:r>
    </w:p>
    <w:p w14:paraId="5E2C46A7" w14:textId="77777777" w:rsidR="00AF6232" w:rsidRPr="00AF6232" w:rsidRDefault="00AF6232" w:rsidP="00AF6232">
      <w:pPr>
        <w:numPr>
          <w:ilvl w:val="0"/>
          <w:numId w:val="32"/>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Managing Through Adversity:</w:t>
      </w:r>
      <w:r w:rsidRPr="00AF6232">
        <w:rPr>
          <w:rFonts w:ascii="Segoe UI" w:hAnsi="Segoe UI" w:cs="Segoe UI"/>
          <w:sz w:val="21"/>
          <w:szCs w:val="21"/>
        </w:rPr>
        <w:t xml:space="preserve"> The year was not without challenges – Employee A’s team at Octave underwent significant turnover, and he had to rebuild with mostly new members.</w:t>
      </w:r>
      <w:hyperlink r:id="rId320" w:history="1">
        <w:r w:rsidRPr="00AF6232">
          <w:rPr>
            <w:rFonts w:ascii="Segoe UI" w:hAnsi="Segoe UI" w:cs="Segoe UI"/>
            <w:color w:val="464FEB"/>
            <w:sz w:val="21"/>
            <w:szCs w:val="21"/>
          </w:rPr>
          <w:t>[2]</w:t>
        </w:r>
      </w:hyperlink>
      <w:r w:rsidRPr="00AF6232">
        <w:rPr>
          <w:rFonts w:ascii="Segoe UI" w:hAnsi="Segoe UI" w:cs="Segoe UI"/>
          <w:sz w:val="21"/>
          <w:szCs w:val="21"/>
        </w:rPr>
        <w:t xml:space="preserve"> Despite operating with a “refreshed and new” team</w:t>
      </w:r>
      <w:hyperlink r:id="rId321" w:history="1">
        <w:r w:rsidRPr="00AF6232">
          <w:rPr>
            <w:rFonts w:ascii="Segoe UI" w:hAnsi="Segoe UI" w:cs="Segoe UI"/>
            <w:color w:val="464FEB"/>
            <w:sz w:val="21"/>
            <w:szCs w:val="21"/>
          </w:rPr>
          <w:t>[2]</w:t>
        </w:r>
      </w:hyperlink>
      <w:r w:rsidRPr="00AF6232">
        <w:rPr>
          <w:rFonts w:ascii="Segoe UI" w:hAnsi="Segoe UI" w:cs="Segoe UI"/>
          <w:sz w:val="21"/>
          <w:szCs w:val="21"/>
        </w:rPr>
        <w:t>, Employee A maintained momentum on all projects. He often had to double-hat roles and cover gaps in resources. Nevertheless, he delivered on critical tasks under tight timelines. For example, when asked to implement the 360° feedback program on short notice, he launched it in under a month</w:t>
      </w:r>
      <w:hyperlink r:id="rId322" w:history="1">
        <w:r w:rsidRPr="00AF6232">
          <w:rPr>
            <w:rFonts w:ascii="Segoe UI" w:hAnsi="Segoe UI" w:cs="Segoe UI"/>
            <w:color w:val="464FEB"/>
            <w:sz w:val="21"/>
            <w:szCs w:val="21"/>
          </w:rPr>
          <w:t>[2]</w:t>
        </w:r>
      </w:hyperlink>
      <w:r w:rsidRPr="00AF6232">
        <w:rPr>
          <w:rFonts w:ascii="Segoe UI" w:hAnsi="Segoe UI" w:cs="Segoe UI"/>
          <w:sz w:val="21"/>
          <w:szCs w:val="21"/>
        </w:rPr>
        <w:t>. Similarly, he quickly cascaded group OKRs and training, meeting year-end performance review deadlines</w:t>
      </w:r>
      <w:hyperlink r:id="rId323" w:history="1">
        <w:r w:rsidRPr="00AF6232">
          <w:rPr>
            <w:rFonts w:ascii="Segoe UI" w:hAnsi="Segoe UI" w:cs="Segoe UI"/>
            <w:color w:val="464FEB"/>
            <w:sz w:val="21"/>
            <w:szCs w:val="21"/>
          </w:rPr>
          <w:t>[2]</w:t>
        </w:r>
      </w:hyperlink>
      <w:r w:rsidRPr="00AF6232">
        <w:rPr>
          <w:rFonts w:ascii="Segoe UI" w:hAnsi="Segoe UI" w:cs="Segoe UI"/>
          <w:sz w:val="21"/>
          <w:szCs w:val="21"/>
        </w:rPr>
        <w:t xml:space="preserve">. This resilience and work ethic ensured that TPC’s transformation milestones (from system go-lives to workshops) stayed on track. Niap acknowledged that Employee A was </w:t>
      </w:r>
      <w:r w:rsidRPr="00AF6232">
        <w:rPr>
          <w:rFonts w:ascii="Segoe UI" w:hAnsi="Segoe UI" w:cs="Segoe UI"/>
          <w:i/>
          <w:iCs/>
          <w:sz w:val="21"/>
          <w:szCs w:val="21"/>
        </w:rPr>
        <w:t>“working against a current”</w:t>
      </w:r>
      <w:r w:rsidRPr="00AF6232">
        <w:rPr>
          <w:rFonts w:ascii="Segoe UI" w:hAnsi="Segoe UI" w:cs="Segoe UI"/>
          <w:sz w:val="21"/>
          <w:szCs w:val="21"/>
        </w:rPr>
        <w:t xml:space="preserve"> of talent changes and still succeeded in pushing initiatives forward</w:t>
      </w:r>
      <w:hyperlink r:id="rId324" w:history="1">
        <w:r w:rsidRPr="00AF6232">
          <w:rPr>
            <w:rFonts w:ascii="Segoe UI" w:hAnsi="Segoe UI" w:cs="Segoe UI"/>
            <w:color w:val="464FEB"/>
            <w:sz w:val="21"/>
            <w:szCs w:val="21"/>
          </w:rPr>
          <w:t>[2]</w:t>
        </w:r>
      </w:hyperlink>
      <w:r w:rsidRPr="00AF6232">
        <w:rPr>
          <w:rFonts w:ascii="Segoe UI" w:hAnsi="Segoe UI" w:cs="Segoe UI"/>
          <w:sz w:val="21"/>
          <w:szCs w:val="21"/>
        </w:rPr>
        <w:t>.</w:t>
      </w:r>
    </w:p>
    <w:p w14:paraId="639F5B05"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As a result of these efforts, </w:t>
      </w:r>
      <w:r w:rsidRPr="00AF6232">
        <w:rPr>
          <w:rFonts w:ascii="Segoe UI" w:hAnsi="Segoe UI" w:cs="Segoe UI"/>
          <w:b/>
          <w:bCs/>
          <w:sz w:val="21"/>
          <w:szCs w:val="21"/>
        </w:rPr>
        <w:t>Employee A’s impact on TPC in 2025 was substantial</w:t>
      </w:r>
      <w:r w:rsidRPr="00AF6232">
        <w:rPr>
          <w:rFonts w:ascii="Segoe UI" w:hAnsi="Segoe UI" w:cs="Segoe UI"/>
          <w:sz w:val="21"/>
          <w:szCs w:val="21"/>
        </w:rPr>
        <w:t xml:space="preserve">. He helped modernize the company’s systems and mindset (through AI and data initiatives), strengthened its leadership pipeline and culture (through coaching and feedback programs), and extended its influence into the community (through STP and partnerships). These achievements were formally recognized during his October 22 performance review, where Niap Juan praised several of Employee A’s contributions – notably his role in TPC’s digital transformation and his success in </w:t>
      </w:r>
      <w:proofErr w:type="spellStart"/>
      <w:r w:rsidRPr="00AF6232">
        <w:rPr>
          <w:rFonts w:ascii="Segoe UI" w:hAnsi="Segoe UI" w:cs="Segoe UI"/>
          <w:sz w:val="21"/>
          <w:szCs w:val="21"/>
        </w:rPr>
        <w:t>catalyzing</w:t>
      </w:r>
      <w:proofErr w:type="spellEnd"/>
      <w:r w:rsidRPr="00AF6232">
        <w:rPr>
          <w:rFonts w:ascii="Segoe UI" w:hAnsi="Segoe UI" w:cs="Segoe UI"/>
          <w:sz w:val="21"/>
          <w:szCs w:val="21"/>
        </w:rPr>
        <w:t xml:space="preserve"> the Social Transformation Project</w:t>
      </w:r>
      <w:hyperlink r:id="rId325" w:history="1">
        <w:r w:rsidRPr="00AF6232">
          <w:rPr>
            <w:rFonts w:ascii="Segoe UI" w:hAnsi="Segoe UI" w:cs="Segoe UI"/>
            <w:color w:val="464FEB"/>
            <w:sz w:val="21"/>
            <w:szCs w:val="21"/>
          </w:rPr>
          <w:t>[2]</w:t>
        </w:r>
      </w:hyperlink>
      <w:hyperlink r:id="rId326" w:history="1">
        <w:r w:rsidRPr="00AF6232">
          <w:rPr>
            <w:rFonts w:ascii="Segoe UI" w:hAnsi="Segoe UI" w:cs="Segoe UI"/>
            <w:color w:val="464FEB"/>
            <w:sz w:val="21"/>
            <w:szCs w:val="21"/>
          </w:rPr>
          <w:t>[2]</w:t>
        </w:r>
      </w:hyperlink>
      <w:r w:rsidRPr="00AF6232">
        <w:rPr>
          <w:rFonts w:ascii="Segoe UI" w:hAnsi="Segoe UI" w:cs="Segoe UI"/>
          <w:sz w:val="21"/>
          <w:szCs w:val="21"/>
        </w:rPr>
        <w:t>.</w:t>
      </w:r>
    </w:p>
    <w:p w14:paraId="7373AD4C" w14:textId="77777777" w:rsidR="00AF6232" w:rsidRPr="00AF6232" w:rsidRDefault="00AF6232" w:rsidP="00AF6232">
      <w:pPr>
        <w:spacing w:before="100" w:beforeAutospacing="1" w:after="100" w:afterAutospacing="1" w:line="300" w:lineRule="atLeast"/>
        <w:outlineLvl w:val="1"/>
        <w:rPr>
          <w:rFonts w:ascii="Segoe UI" w:hAnsi="Segoe UI" w:cs="Segoe UI"/>
          <w:b/>
          <w:bCs/>
          <w:sz w:val="36"/>
          <w:szCs w:val="36"/>
        </w:rPr>
      </w:pPr>
      <w:r w:rsidRPr="00AF6232">
        <w:rPr>
          <w:rFonts w:ascii="Segoe UI" w:hAnsi="Segoe UI" w:cs="Segoe UI"/>
          <w:b/>
          <w:bCs/>
          <w:sz w:val="36"/>
          <w:szCs w:val="36"/>
        </w:rPr>
        <w:t>Leadership Strengths</w:t>
      </w:r>
    </w:p>
    <w:p w14:paraId="37CC3EB0"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Employee A demonstrated a range of </w:t>
      </w:r>
      <w:r w:rsidRPr="00AF6232">
        <w:rPr>
          <w:rFonts w:ascii="Segoe UI" w:hAnsi="Segoe UI" w:cs="Segoe UI"/>
          <w:b/>
          <w:bCs/>
          <w:sz w:val="21"/>
          <w:szCs w:val="21"/>
        </w:rPr>
        <w:t>leadership strengths</w:t>
      </w:r>
      <w:r w:rsidRPr="00AF6232">
        <w:rPr>
          <w:rFonts w:ascii="Segoe UI" w:hAnsi="Segoe UI" w:cs="Segoe UI"/>
          <w:sz w:val="21"/>
          <w:szCs w:val="21"/>
        </w:rPr>
        <w:t xml:space="preserve"> in delivering these outcomes:</w:t>
      </w:r>
    </w:p>
    <w:p w14:paraId="318DA601" w14:textId="77777777" w:rsidR="00AF6232" w:rsidRPr="00AF6232" w:rsidRDefault="00AF6232" w:rsidP="00AF6232">
      <w:pPr>
        <w:numPr>
          <w:ilvl w:val="0"/>
          <w:numId w:val="33"/>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Vision Alignment &amp; Purpose-Driven Leadership:</w:t>
      </w:r>
      <w:r w:rsidRPr="00AF6232">
        <w:rPr>
          <w:rFonts w:ascii="Segoe UI" w:hAnsi="Segoe UI" w:cs="Segoe UI"/>
          <w:sz w:val="21"/>
          <w:szCs w:val="21"/>
        </w:rPr>
        <w:t xml:space="preserve"> Employee A consistently aligned his initiatives with TPC’s vision of a purpose-led, well-being-focused enterprise. He championed the Well-Being Mandate and our Chairman’s “Life Flourishing” philosophy in practical ways. For example, he integrated Octave’s 8 Living Habits into corporate training and used them to evaluate external programs for fit. This ensured that transformation projects (even technical ones like AI systems) reinforced TPC’s core values. Niap highlighted Employee A’s ability to take the Group’s high-level philosophy (often abstract) and </w:t>
      </w:r>
      <w:r w:rsidRPr="00AF6232">
        <w:rPr>
          <w:rFonts w:ascii="Segoe UI" w:hAnsi="Segoe UI" w:cs="Segoe UI"/>
          <w:b/>
          <w:bCs/>
          <w:sz w:val="21"/>
          <w:szCs w:val="21"/>
        </w:rPr>
        <w:t>communicate it in digestible terms</w:t>
      </w:r>
      <w:r w:rsidRPr="00AF6232">
        <w:rPr>
          <w:rFonts w:ascii="Segoe UI" w:hAnsi="Segoe UI" w:cs="Segoe UI"/>
          <w:sz w:val="21"/>
          <w:szCs w:val="21"/>
        </w:rPr>
        <w:t xml:space="preserve"> to employees</w:t>
      </w:r>
      <w:hyperlink r:id="rId327" w:history="1">
        <w:r w:rsidRPr="00AF6232">
          <w:rPr>
            <w:rFonts w:ascii="Segoe UI" w:hAnsi="Segoe UI" w:cs="Segoe UI"/>
            <w:color w:val="464FEB"/>
            <w:sz w:val="21"/>
            <w:szCs w:val="21"/>
          </w:rPr>
          <w:t>[2]</w:t>
        </w:r>
      </w:hyperlink>
      <w:r w:rsidRPr="00AF6232">
        <w:rPr>
          <w:rFonts w:ascii="Segoe UI" w:hAnsi="Segoe UI" w:cs="Segoe UI"/>
          <w:sz w:val="21"/>
          <w:szCs w:val="21"/>
        </w:rPr>
        <w:t>, building understanding and buy-in. This strength made Employee A an effective culture carrier and translator of vision.</w:t>
      </w:r>
    </w:p>
    <w:p w14:paraId="22263374" w14:textId="77777777" w:rsidR="00AF6232" w:rsidRPr="00AF6232" w:rsidRDefault="00AF6232" w:rsidP="00AF6232">
      <w:pPr>
        <w:numPr>
          <w:ilvl w:val="0"/>
          <w:numId w:val="33"/>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Driving Innovation and Change:</w:t>
      </w:r>
      <w:r w:rsidRPr="00AF6232">
        <w:rPr>
          <w:rFonts w:ascii="Segoe UI" w:hAnsi="Segoe UI" w:cs="Segoe UI"/>
          <w:sz w:val="21"/>
          <w:szCs w:val="21"/>
        </w:rPr>
        <w:t xml:space="preserve"> Employee A showed strong initiative and analytical thinking, often being the originator of new ideas and seeing them through to results. He was not afraid to pose challenging questions (e.g. asking in leadership forums how TPC can use AI to cut costs and improve efficiency) and then volunteer to pilot answers. He systematically </w:t>
      </w:r>
      <w:r w:rsidRPr="00AF6232">
        <w:rPr>
          <w:rFonts w:ascii="Segoe UI" w:hAnsi="Segoe UI" w:cs="Segoe UI"/>
          <w:b/>
          <w:bCs/>
          <w:sz w:val="21"/>
          <w:szCs w:val="21"/>
        </w:rPr>
        <w:t>turned ideas into action</w:t>
      </w:r>
      <w:r w:rsidRPr="00AF6232">
        <w:rPr>
          <w:rFonts w:ascii="Segoe UI" w:hAnsi="Segoe UI" w:cs="Segoe UI"/>
          <w:sz w:val="21"/>
          <w:szCs w:val="21"/>
        </w:rPr>
        <w:t xml:space="preserve"> – breaking down ambitious goals like the “4D” performance engine into concrete steps (data collection, system prototyping, etc.) and delivering a functional product</w:t>
      </w:r>
      <w:hyperlink r:id="rId328" w:history="1">
        <w:r w:rsidRPr="00AF6232">
          <w:rPr>
            <w:rFonts w:ascii="Segoe UI" w:hAnsi="Segoe UI" w:cs="Segoe UI"/>
            <w:color w:val="464FEB"/>
            <w:sz w:val="21"/>
            <w:szCs w:val="21"/>
          </w:rPr>
          <w:t>[2]</w:t>
        </w:r>
      </w:hyperlink>
      <w:hyperlink r:id="rId329" w:history="1">
        <w:r w:rsidRPr="00AF6232">
          <w:rPr>
            <w:rFonts w:ascii="Segoe UI" w:hAnsi="Segoe UI" w:cs="Segoe UI"/>
            <w:color w:val="464FEB"/>
            <w:sz w:val="21"/>
            <w:szCs w:val="21"/>
          </w:rPr>
          <w:t>[2]</w:t>
        </w:r>
      </w:hyperlink>
      <w:r w:rsidRPr="00AF6232">
        <w:rPr>
          <w:rFonts w:ascii="Segoe UI" w:hAnsi="Segoe UI" w:cs="Segoe UI"/>
          <w:sz w:val="21"/>
          <w:szCs w:val="21"/>
        </w:rPr>
        <w:t xml:space="preserve">. He also sought diverse perspectives, learning from external benchmarks (like Alibaba’s data practices) and applying them internally. This innovative drive kept TPC’s transformation cutting-edge. Niap described Employee A as having a </w:t>
      </w:r>
      <w:r w:rsidRPr="00AF6232">
        <w:rPr>
          <w:rFonts w:ascii="Segoe UI" w:hAnsi="Segoe UI" w:cs="Segoe UI"/>
          <w:i/>
          <w:iCs/>
          <w:sz w:val="21"/>
          <w:szCs w:val="21"/>
        </w:rPr>
        <w:t>“constant drive”</w:t>
      </w:r>
      <w:r w:rsidRPr="00AF6232">
        <w:rPr>
          <w:rFonts w:ascii="Segoe UI" w:hAnsi="Segoe UI" w:cs="Segoe UI"/>
          <w:sz w:val="21"/>
          <w:szCs w:val="21"/>
        </w:rPr>
        <w:t xml:space="preserve"> and being </w:t>
      </w:r>
      <w:r w:rsidRPr="00AF6232">
        <w:rPr>
          <w:rFonts w:ascii="Segoe UI" w:hAnsi="Segoe UI" w:cs="Segoe UI"/>
          <w:i/>
          <w:iCs/>
          <w:sz w:val="21"/>
          <w:szCs w:val="21"/>
        </w:rPr>
        <w:t>“instrumental”</w:t>
      </w:r>
      <w:r w:rsidRPr="00AF6232">
        <w:rPr>
          <w:rFonts w:ascii="Segoe UI" w:hAnsi="Segoe UI" w:cs="Segoe UI"/>
          <w:sz w:val="21"/>
          <w:szCs w:val="21"/>
        </w:rPr>
        <w:t xml:space="preserve"> in pushing new mindsets (like AI adoption) even when those shifts were difficult</w:t>
      </w:r>
      <w:hyperlink r:id="rId330" w:history="1">
        <w:r w:rsidRPr="00AF6232">
          <w:rPr>
            <w:rFonts w:ascii="Segoe UI" w:hAnsi="Segoe UI" w:cs="Segoe UI"/>
            <w:color w:val="464FEB"/>
            <w:sz w:val="21"/>
            <w:szCs w:val="21"/>
          </w:rPr>
          <w:t>[2]</w:t>
        </w:r>
      </w:hyperlink>
      <w:r w:rsidRPr="00AF6232">
        <w:rPr>
          <w:rFonts w:ascii="Segoe UI" w:hAnsi="Segoe UI" w:cs="Segoe UI"/>
          <w:sz w:val="21"/>
          <w:szCs w:val="21"/>
        </w:rPr>
        <w:t>.</w:t>
      </w:r>
    </w:p>
    <w:p w14:paraId="2E90C0BC" w14:textId="77777777" w:rsidR="00AF6232" w:rsidRPr="00AF6232" w:rsidRDefault="00AF6232" w:rsidP="00AF6232">
      <w:pPr>
        <w:numPr>
          <w:ilvl w:val="0"/>
          <w:numId w:val="33"/>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External/Internal Bridging &amp; Collaboration:</w:t>
      </w:r>
      <w:r w:rsidRPr="00AF6232">
        <w:rPr>
          <w:rFonts w:ascii="Segoe UI" w:hAnsi="Segoe UI" w:cs="Segoe UI"/>
          <w:sz w:val="21"/>
          <w:szCs w:val="21"/>
        </w:rPr>
        <w:t xml:space="preserve"> One of Employee A’s standout strengths was his ability to </w:t>
      </w:r>
      <w:r w:rsidRPr="00AF6232">
        <w:rPr>
          <w:rFonts w:ascii="Segoe UI" w:hAnsi="Segoe UI" w:cs="Segoe UI"/>
          <w:b/>
          <w:bCs/>
          <w:sz w:val="21"/>
          <w:szCs w:val="21"/>
        </w:rPr>
        <w:t>connect external partners with internal initiatives</w:t>
      </w:r>
      <w:r w:rsidRPr="00AF6232">
        <w:rPr>
          <w:rFonts w:ascii="Segoe UI" w:hAnsi="Segoe UI" w:cs="Segoe UI"/>
          <w:sz w:val="21"/>
          <w:szCs w:val="21"/>
        </w:rPr>
        <w:t xml:space="preserve"> to create synergy. In 2025, he nurtured collaborations with universities and government entities that enriched TPC’s projects – e.g. coordinating with NUS on well-being metrics research and bringing in external coaches for leadership programs. Loh Niap Juan specifically commended Employee A for </w:t>
      </w:r>
      <w:r w:rsidRPr="00AF6232">
        <w:rPr>
          <w:rFonts w:ascii="Segoe UI" w:hAnsi="Segoe UI" w:cs="Segoe UI"/>
          <w:i/>
          <w:iCs/>
          <w:sz w:val="21"/>
          <w:szCs w:val="21"/>
        </w:rPr>
        <w:t>“engaging and bringing external and internal elements together”</w:t>
      </w:r>
      <w:hyperlink r:id="rId331" w:history="1">
        <w:r w:rsidRPr="00AF6232">
          <w:rPr>
            <w:rFonts w:ascii="Segoe UI" w:hAnsi="Segoe UI" w:cs="Segoe UI"/>
            <w:color w:val="464FEB"/>
            <w:sz w:val="21"/>
            <w:szCs w:val="21"/>
          </w:rPr>
          <w:t>[2]</w:t>
        </w:r>
      </w:hyperlink>
      <w:r w:rsidRPr="00AF6232">
        <w:rPr>
          <w:rFonts w:ascii="Segoe UI" w:hAnsi="Segoe UI" w:cs="Segoe UI"/>
          <w:sz w:val="21"/>
          <w:szCs w:val="21"/>
        </w:rPr>
        <w:t>, citing the Social Transformation Project as an example where his networking paid off. Internally, Employee A was known for his inclusive approach: he convened cross-functional working groups (for OKR rollout, AI platform design, etc.) and ensured broad participation. He maintained a “one team” ethos despite organizational silos. For instance, he collaborated with HR, IT, and business unit heads alike to implement the new performance appraisal system and 360 review, aligning everyone on objectives. This collaborative mindset built trust and broke down barriers, accelerating implementation of change.</w:t>
      </w:r>
    </w:p>
    <w:p w14:paraId="023EACBD" w14:textId="77777777" w:rsidR="00AF6232" w:rsidRPr="00AF6232" w:rsidRDefault="00AF6232" w:rsidP="00AF6232">
      <w:pPr>
        <w:numPr>
          <w:ilvl w:val="0"/>
          <w:numId w:val="33"/>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Communication &amp; People Engagement:</w:t>
      </w:r>
      <w:r w:rsidRPr="00AF6232">
        <w:rPr>
          <w:rFonts w:ascii="Segoe UI" w:hAnsi="Segoe UI" w:cs="Segoe UI"/>
          <w:sz w:val="21"/>
          <w:szCs w:val="21"/>
        </w:rPr>
        <w:t xml:space="preserve"> Employee A is an articulate communicator and coach. Whether addressing the C-suite or frontline staff, he tailored his message to the audience’s needs. He frequently used storytelling and simple language to demystify complex concepts (like AI or “quantum leadership”), which helped colleagues rally around new initiatives</w:t>
      </w:r>
      <w:hyperlink r:id="rId332" w:history="1">
        <w:r w:rsidRPr="00AF6232">
          <w:rPr>
            <w:rFonts w:ascii="Segoe UI" w:hAnsi="Segoe UI" w:cs="Segoe UI"/>
            <w:color w:val="464FEB"/>
            <w:sz w:val="21"/>
            <w:szCs w:val="21"/>
          </w:rPr>
          <w:t>[2]</w:t>
        </w:r>
      </w:hyperlink>
      <w:r w:rsidRPr="00AF6232">
        <w:rPr>
          <w:rFonts w:ascii="Segoe UI" w:hAnsi="Segoe UI" w:cs="Segoe UI"/>
          <w:sz w:val="21"/>
          <w:szCs w:val="21"/>
        </w:rPr>
        <w:t xml:space="preserve">. His facilitation skills kept meetings productive and inclusive – as seen in Good Management Workshops where he guided diverse executives through reflective exercises. Niap noted Employee A’s </w:t>
      </w:r>
      <w:r w:rsidRPr="00AF6232">
        <w:rPr>
          <w:rFonts w:ascii="Segoe UI" w:hAnsi="Segoe UI" w:cs="Segoe UI"/>
          <w:i/>
          <w:iCs/>
          <w:sz w:val="21"/>
          <w:szCs w:val="21"/>
        </w:rPr>
        <w:t>“good engagement style”</w:t>
      </w:r>
      <w:r w:rsidRPr="00AF6232">
        <w:rPr>
          <w:rFonts w:ascii="Segoe UI" w:hAnsi="Segoe UI" w:cs="Segoe UI"/>
          <w:sz w:val="21"/>
          <w:szCs w:val="21"/>
        </w:rPr>
        <w:t>, both externally and internally</w:t>
      </w:r>
      <w:hyperlink r:id="rId333" w:history="1">
        <w:r w:rsidRPr="00AF6232">
          <w:rPr>
            <w:rFonts w:ascii="Segoe UI" w:hAnsi="Segoe UI" w:cs="Segoe UI"/>
            <w:color w:val="464FEB"/>
            <w:sz w:val="21"/>
            <w:szCs w:val="21"/>
          </w:rPr>
          <w:t>[2]</w:t>
        </w:r>
      </w:hyperlink>
      <w:r w:rsidRPr="00AF6232">
        <w:rPr>
          <w:rFonts w:ascii="Segoe UI" w:hAnsi="Segoe UI" w:cs="Segoe UI"/>
          <w:sz w:val="21"/>
          <w:szCs w:val="21"/>
        </w:rPr>
        <w:t>. He also personally mentored many colleagues (as a certified coach), exemplifying the supportive leadership TPC strives for. This strength in communication and empathy was crucial in 2025 as employees navigated many changes; Employee A helped them see the personal benefit and purpose in each transformation initiative, thus driving higher adoption.</w:t>
      </w:r>
    </w:p>
    <w:p w14:paraId="39758A3B" w14:textId="77777777" w:rsidR="00AF6232" w:rsidRPr="00AF6232" w:rsidRDefault="00AF6232" w:rsidP="00AF6232">
      <w:pPr>
        <w:numPr>
          <w:ilvl w:val="0"/>
          <w:numId w:val="33"/>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Perseverance and Adaptability:</w:t>
      </w:r>
      <w:r w:rsidRPr="00AF6232">
        <w:rPr>
          <w:rFonts w:ascii="Segoe UI" w:hAnsi="Segoe UI" w:cs="Segoe UI"/>
          <w:sz w:val="21"/>
          <w:szCs w:val="21"/>
        </w:rPr>
        <w:t xml:space="preserve"> Throughout 2025, Employee A demonstrated resilience and adaptability, core to </w:t>
      </w:r>
      <w:r w:rsidRPr="00AF6232">
        <w:rPr>
          <w:rFonts w:ascii="Segoe UI" w:hAnsi="Segoe UI" w:cs="Segoe UI"/>
          <w:i/>
          <w:iCs/>
          <w:sz w:val="21"/>
          <w:szCs w:val="21"/>
        </w:rPr>
        <w:t>Quantum Leadership</w:t>
      </w:r>
      <w:r w:rsidRPr="00AF6232">
        <w:rPr>
          <w:rFonts w:ascii="Segoe UI" w:hAnsi="Segoe UI" w:cs="Segoe UI"/>
          <w:sz w:val="21"/>
          <w:szCs w:val="21"/>
        </w:rPr>
        <w:t>. He took on responsibilities outside his original scope and persevered through obstacles. For example, mid-year he absorbed oversight of the entire OKR process (a task typically owned by HR) and successfully institutionalized it group-wide</w:t>
      </w:r>
      <w:hyperlink r:id="rId334" w:history="1">
        <w:r w:rsidRPr="00AF6232">
          <w:rPr>
            <w:rFonts w:ascii="Segoe UI" w:hAnsi="Segoe UI" w:cs="Segoe UI"/>
            <w:color w:val="464FEB"/>
            <w:sz w:val="21"/>
            <w:szCs w:val="21"/>
          </w:rPr>
          <w:t>[2]</w:t>
        </w:r>
      </w:hyperlink>
      <w:r w:rsidRPr="00AF6232">
        <w:rPr>
          <w:rFonts w:ascii="Segoe UI" w:hAnsi="Segoe UI" w:cs="Segoe UI"/>
          <w:sz w:val="21"/>
          <w:szCs w:val="21"/>
        </w:rPr>
        <w:t xml:space="preserve">. When resources were lacking, he sought creative solutions – such as engaging external vendors to develop the </w:t>
      </w:r>
      <w:proofErr w:type="spellStart"/>
      <w:r w:rsidRPr="00AF6232">
        <w:rPr>
          <w:rFonts w:ascii="Segoe UI" w:hAnsi="Segoe UI" w:cs="Segoe UI"/>
          <w:sz w:val="21"/>
          <w:szCs w:val="21"/>
        </w:rPr>
        <w:t>TalentVerse</w:t>
      </w:r>
      <w:proofErr w:type="spellEnd"/>
      <w:r w:rsidRPr="00AF6232">
        <w:rPr>
          <w:rFonts w:ascii="Segoe UI" w:hAnsi="Segoe UI" w:cs="Segoe UI"/>
          <w:sz w:val="21"/>
          <w:szCs w:val="21"/>
        </w:rPr>
        <w:t xml:space="preserve"> platform when internal IT bandwidth was limited</w:t>
      </w:r>
      <w:hyperlink r:id="rId335" w:history="1">
        <w:r w:rsidRPr="00AF6232">
          <w:rPr>
            <w:rFonts w:ascii="Segoe UI" w:hAnsi="Segoe UI" w:cs="Segoe UI"/>
            <w:color w:val="464FEB"/>
            <w:sz w:val="21"/>
            <w:szCs w:val="21"/>
          </w:rPr>
          <w:t>[2]</w:t>
        </w:r>
      </w:hyperlink>
      <w:r w:rsidRPr="00AF6232">
        <w:rPr>
          <w:rFonts w:ascii="Segoe UI" w:hAnsi="Segoe UI" w:cs="Segoe UI"/>
          <w:sz w:val="21"/>
          <w:szCs w:val="21"/>
        </w:rPr>
        <w:t xml:space="preserve">. Employee A also adapted on the fly: he restructured a planned “Mindful Male Leadership” workshop into a broader session within days when circumstances shifted, and he deftly re-prioritized tasks when schedules collided (moving a workshop segment to ensure full coverage). Niap recognized that Employee A was often operating under intense pressure yet </w:t>
      </w:r>
      <w:r w:rsidRPr="00AF6232">
        <w:rPr>
          <w:rFonts w:ascii="Segoe UI" w:hAnsi="Segoe UI" w:cs="Segoe UI"/>
          <w:i/>
          <w:iCs/>
          <w:sz w:val="21"/>
          <w:szCs w:val="21"/>
        </w:rPr>
        <w:t>“responded very quickly”</w:t>
      </w:r>
      <w:r w:rsidRPr="00AF6232">
        <w:rPr>
          <w:rFonts w:ascii="Segoe UI" w:hAnsi="Segoe UI" w:cs="Segoe UI"/>
          <w:sz w:val="21"/>
          <w:szCs w:val="21"/>
        </w:rPr>
        <w:t xml:space="preserve"> to deliver what was required</w:t>
      </w:r>
      <w:hyperlink r:id="rId336" w:history="1">
        <w:r w:rsidRPr="00AF6232">
          <w:rPr>
            <w:rFonts w:ascii="Segoe UI" w:hAnsi="Segoe UI" w:cs="Segoe UI"/>
            <w:color w:val="464FEB"/>
            <w:sz w:val="21"/>
            <w:szCs w:val="21"/>
          </w:rPr>
          <w:t>[2]</w:t>
        </w:r>
      </w:hyperlink>
      <w:r w:rsidRPr="00AF6232">
        <w:rPr>
          <w:rFonts w:ascii="Segoe UI" w:hAnsi="Segoe UI" w:cs="Segoe UI"/>
          <w:sz w:val="21"/>
          <w:szCs w:val="21"/>
        </w:rPr>
        <w:t>. This agility ensured that even in ambiguity or tight deadlines, key projects were executed successfully – a testament to Employee A’s steadfast commitment and versatile leadership.</w:t>
      </w:r>
    </w:p>
    <w:p w14:paraId="6D44BC6B"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In summary, Employee A’s strengths – strategic vision alignment, innovation, collaborative networking, effective communication, and resilient execution – greatly amplified TPC’s transformation progress in 2025. His manager affirmed these qualities during the </w:t>
      </w:r>
      <w:proofErr w:type="spellStart"/>
      <w:r w:rsidRPr="00AF6232">
        <w:rPr>
          <w:rFonts w:ascii="Segoe UI" w:hAnsi="Segoe UI" w:cs="Segoe UI"/>
          <w:sz w:val="21"/>
          <w:szCs w:val="21"/>
        </w:rPr>
        <w:t>ePCG</w:t>
      </w:r>
      <w:proofErr w:type="spellEnd"/>
      <w:r w:rsidRPr="00AF6232">
        <w:rPr>
          <w:rFonts w:ascii="Segoe UI" w:hAnsi="Segoe UI" w:cs="Segoe UI"/>
          <w:sz w:val="21"/>
          <w:szCs w:val="21"/>
        </w:rPr>
        <w:t xml:space="preserve"> discussion, noting how Employee A had been </w:t>
      </w:r>
      <w:r w:rsidRPr="00AF6232">
        <w:rPr>
          <w:rFonts w:ascii="Segoe UI" w:hAnsi="Segoe UI" w:cs="Segoe UI"/>
          <w:i/>
          <w:iCs/>
          <w:sz w:val="21"/>
          <w:szCs w:val="21"/>
        </w:rPr>
        <w:t>“instrumental”</w:t>
      </w:r>
      <w:r w:rsidRPr="00AF6232">
        <w:rPr>
          <w:rFonts w:ascii="Segoe UI" w:hAnsi="Segoe UI" w:cs="Segoe UI"/>
          <w:sz w:val="21"/>
          <w:szCs w:val="21"/>
        </w:rPr>
        <w:t xml:space="preserve"> in crucial initiatives and how his personal competencies (like stakeholder engagement and making complex ideas accessible) added value to the organization</w:t>
      </w:r>
      <w:hyperlink r:id="rId337" w:history="1">
        <w:r w:rsidRPr="00AF6232">
          <w:rPr>
            <w:rFonts w:ascii="Segoe UI" w:hAnsi="Segoe UI" w:cs="Segoe UI"/>
            <w:color w:val="464FEB"/>
            <w:sz w:val="21"/>
            <w:szCs w:val="21"/>
          </w:rPr>
          <w:t>[1]</w:t>
        </w:r>
      </w:hyperlink>
      <w:hyperlink r:id="rId338" w:history="1">
        <w:r w:rsidRPr="00AF6232">
          <w:rPr>
            <w:rFonts w:ascii="Segoe UI" w:hAnsi="Segoe UI" w:cs="Segoe UI"/>
            <w:color w:val="464FEB"/>
            <w:sz w:val="21"/>
            <w:szCs w:val="21"/>
          </w:rPr>
          <w:t>[1]</w:t>
        </w:r>
      </w:hyperlink>
      <w:r w:rsidRPr="00AF6232">
        <w:rPr>
          <w:rFonts w:ascii="Segoe UI" w:hAnsi="Segoe UI" w:cs="Segoe UI"/>
          <w:sz w:val="21"/>
          <w:szCs w:val="21"/>
        </w:rPr>
        <w:t>.</w:t>
      </w:r>
    </w:p>
    <w:p w14:paraId="00FD548E" w14:textId="77777777" w:rsidR="00AF6232" w:rsidRPr="00AF6232" w:rsidRDefault="00AF6232" w:rsidP="00AF6232">
      <w:pPr>
        <w:spacing w:before="100" w:beforeAutospacing="1" w:after="100" w:afterAutospacing="1" w:line="300" w:lineRule="atLeast"/>
        <w:outlineLvl w:val="1"/>
        <w:rPr>
          <w:rFonts w:ascii="Segoe UI" w:hAnsi="Segoe UI" w:cs="Segoe UI"/>
          <w:b/>
          <w:bCs/>
          <w:sz w:val="36"/>
          <w:szCs w:val="36"/>
        </w:rPr>
      </w:pPr>
      <w:r w:rsidRPr="00AF6232">
        <w:rPr>
          <w:rFonts w:ascii="Segoe UI" w:hAnsi="Segoe UI" w:cs="Segoe UI"/>
          <w:b/>
          <w:bCs/>
          <w:sz w:val="36"/>
          <w:szCs w:val="36"/>
        </w:rPr>
        <w:t>Areas for Improvement</w:t>
      </w:r>
    </w:p>
    <w:p w14:paraId="11A16C7C"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While Employee A’s performance was strong, the 2025 review also identified </w:t>
      </w:r>
      <w:r w:rsidRPr="00AF6232">
        <w:rPr>
          <w:rFonts w:ascii="Segoe UI" w:hAnsi="Segoe UI" w:cs="Segoe UI"/>
          <w:b/>
          <w:bCs/>
          <w:sz w:val="21"/>
          <w:szCs w:val="21"/>
        </w:rPr>
        <w:t>areas for development</w:t>
      </w:r>
      <w:r w:rsidRPr="00AF6232">
        <w:rPr>
          <w:rFonts w:ascii="Segoe UI" w:hAnsi="Segoe UI" w:cs="Segoe UI"/>
          <w:sz w:val="21"/>
          <w:szCs w:val="21"/>
        </w:rPr>
        <w:t xml:space="preserve"> to further enhance his effectiveness:</w:t>
      </w:r>
    </w:p>
    <w:p w14:paraId="78CB7A8E" w14:textId="77777777" w:rsidR="00AF6232" w:rsidRPr="00AF6232" w:rsidRDefault="00AF6232" w:rsidP="00AF6232">
      <w:pPr>
        <w:numPr>
          <w:ilvl w:val="0"/>
          <w:numId w:val="34"/>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Team Integration &amp; Internal Coordination:</w:t>
      </w:r>
      <w:r w:rsidRPr="00AF6232">
        <w:rPr>
          <w:rFonts w:ascii="Segoe UI" w:hAnsi="Segoe UI" w:cs="Segoe UI"/>
          <w:sz w:val="21"/>
          <w:szCs w:val="21"/>
        </w:rPr>
        <w:t xml:space="preserve"> A key feedback theme was the need for Employee A to more tightly </w:t>
      </w:r>
      <w:r w:rsidRPr="00AF6232">
        <w:rPr>
          <w:rFonts w:ascii="Segoe UI" w:hAnsi="Segoe UI" w:cs="Segoe UI"/>
          <w:b/>
          <w:bCs/>
          <w:sz w:val="21"/>
          <w:szCs w:val="21"/>
        </w:rPr>
        <w:t>integrate his own team’s efforts and cross-functional collaboration</w:t>
      </w:r>
      <w:r w:rsidRPr="00AF6232">
        <w:rPr>
          <w:rFonts w:ascii="Segoe UI" w:hAnsi="Segoe UI" w:cs="Segoe UI"/>
          <w:sz w:val="21"/>
          <w:szCs w:val="21"/>
        </w:rPr>
        <w:t>. Within Octave Institute, Employee A managed distinct functions (Coaching, Learning, Research) that sometimes operated in silos</w:t>
      </w:r>
      <w:hyperlink r:id="rId339" w:history="1">
        <w:r w:rsidRPr="00AF6232">
          <w:rPr>
            <w:rFonts w:ascii="Segoe UI" w:hAnsi="Segoe UI" w:cs="Segoe UI"/>
            <w:color w:val="464FEB"/>
            <w:sz w:val="21"/>
            <w:szCs w:val="21"/>
          </w:rPr>
          <w:t>[2]</w:t>
        </w:r>
      </w:hyperlink>
      <w:r w:rsidRPr="00AF6232">
        <w:rPr>
          <w:rFonts w:ascii="Segoe UI" w:hAnsi="Segoe UI" w:cs="Segoe UI"/>
          <w:sz w:val="21"/>
          <w:szCs w:val="21"/>
        </w:rPr>
        <w:t xml:space="preserve">. Loh Niap Juan observed that although Employee A supervised individuals capably, he could do more to </w:t>
      </w:r>
      <w:r w:rsidRPr="00AF6232">
        <w:rPr>
          <w:rFonts w:ascii="Segoe UI" w:hAnsi="Segoe UI" w:cs="Segoe UI"/>
          <w:i/>
          <w:iCs/>
          <w:sz w:val="21"/>
          <w:szCs w:val="21"/>
        </w:rPr>
        <w:t>“bring everybody on the same page despite their different functional elements”</w:t>
      </w:r>
      <w:hyperlink r:id="rId340" w:history="1">
        <w:r w:rsidRPr="00AF6232">
          <w:rPr>
            <w:rFonts w:ascii="Segoe UI" w:hAnsi="Segoe UI" w:cs="Segoe UI"/>
            <w:color w:val="464FEB"/>
            <w:sz w:val="21"/>
            <w:szCs w:val="21"/>
          </w:rPr>
          <w:t>[2]</w:t>
        </w:r>
      </w:hyperlink>
      <w:hyperlink r:id="rId341" w:history="1">
        <w:r w:rsidRPr="00AF6232">
          <w:rPr>
            <w:rFonts w:ascii="Segoe UI" w:hAnsi="Segoe UI" w:cs="Segoe UI"/>
            <w:color w:val="464FEB"/>
            <w:sz w:val="21"/>
            <w:szCs w:val="21"/>
          </w:rPr>
          <w:t>[1]</w:t>
        </w:r>
      </w:hyperlink>
      <w:r w:rsidRPr="00AF6232">
        <w:rPr>
          <w:rFonts w:ascii="Segoe UI" w:hAnsi="Segoe UI" w:cs="Segoe UI"/>
          <w:sz w:val="21"/>
          <w:szCs w:val="21"/>
        </w:rPr>
        <w:t>. For example, it was noted that one team member (Joanna) might not fully know what another (in Training or Coaching) was doing, indicating gaps in internal communication</w:t>
      </w:r>
      <w:hyperlink r:id="rId342" w:history="1">
        <w:r w:rsidRPr="00AF6232">
          <w:rPr>
            <w:rFonts w:ascii="Segoe UI" w:hAnsi="Segoe UI" w:cs="Segoe UI"/>
            <w:color w:val="464FEB"/>
            <w:sz w:val="21"/>
            <w:szCs w:val="21"/>
          </w:rPr>
          <w:t>[2]</w:t>
        </w:r>
      </w:hyperlink>
      <w:r w:rsidRPr="00AF6232">
        <w:rPr>
          <w:rFonts w:ascii="Segoe UI" w:hAnsi="Segoe UI" w:cs="Segoe UI"/>
          <w:sz w:val="21"/>
          <w:szCs w:val="21"/>
        </w:rPr>
        <w:t xml:space="preserve">. This fragmentation potentially limited synergy. Employee A </w:t>
      </w:r>
      <w:r w:rsidRPr="00AF6232">
        <w:rPr>
          <w:rFonts w:ascii="Segoe UI" w:hAnsi="Segoe UI" w:cs="Segoe UI"/>
          <w:b/>
          <w:bCs/>
          <w:sz w:val="21"/>
          <w:szCs w:val="21"/>
        </w:rPr>
        <w:t>acknowledged this feedback</w:t>
      </w:r>
      <w:r w:rsidRPr="00AF6232">
        <w:rPr>
          <w:rFonts w:ascii="Segoe UI" w:hAnsi="Segoe UI" w:cs="Segoe UI"/>
          <w:sz w:val="21"/>
          <w:szCs w:val="21"/>
        </w:rPr>
        <w:t xml:space="preserve"> and explained that he had instituted weekly all-hands huddles to encourage sharing and collaboration among his staff</w:t>
      </w:r>
      <w:hyperlink r:id="rId343" w:history="1">
        <w:r w:rsidRPr="00AF6232">
          <w:rPr>
            <w:rFonts w:ascii="Segoe UI" w:hAnsi="Segoe UI" w:cs="Segoe UI"/>
            <w:color w:val="464FEB"/>
            <w:sz w:val="21"/>
            <w:szCs w:val="21"/>
          </w:rPr>
          <w:t>[2]</w:t>
        </w:r>
      </w:hyperlink>
      <w:hyperlink r:id="rId344" w:history="1">
        <w:r w:rsidRPr="00AF6232">
          <w:rPr>
            <w:rFonts w:ascii="Segoe UI" w:hAnsi="Segoe UI" w:cs="Segoe UI"/>
            <w:color w:val="464FEB"/>
            <w:sz w:val="21"/>
            <w:szCs w:val="21"/>
          </w:rPr>
          <w:t>[2]</w:t>
        </w:r>
      </w:hyperlink>
      <w:r w:rsidRPr="00AF6232">
        <w:rPr>
          <w:rFonts w:ascii="Segoe UI" w:hAnsi="Segoe UI" w:cs="Segoe UI"/>
          <w:sz w:val="21"/>
          <w:szCs w:val="21"/>
        </w:rPr>
        <w:t xml:space="preserve">. He expressed some surprise at the silo perception, given these practices, but agreed there was room to improve unity. The takeaway is that Employee A should continue focusing on </w:t>
      </w:r>
      <w:r w:rsidRPr="00AF6232">
        <w:rPr>
          <w:rFonts w:ascii="Segoe UI" w:hAnsi="Segoe UI" w:cs="Segoe UI"/>
          <w:b/>
          <w:bCs/>
          <w:sz w:val="21"/>
          <w:szCs w:val="21"/>
        </w:rPr>
        <w:t>breaking down silos</w:t>
      </w:r>
      <w:r w:rsidRPr="00AF6232">
        <w:rPr>
          <w:rFonts w:ascii="Segoe UI" w:hAnsi="Segoe UI" w:cs="Segoe UI"/>
          <w:sz w:val="21"/>
          <w:szCs w:val="21"/>
        </w:rPr>
        <w:t xml:space="preserve"> – perhaps by clarifying roles, improving information flow, and fostering more interdependency in projects. Strengthening this area will help ensure that Octave’s various sub-teams operate as a cohesive unit, multiplying their impact on TPC’s initiatives. It will also address the “resource management” concern Niap mentioned – essentially, being more on top of how all pieces of his department work together</w:t>
      </w:r>
      <w:hyperlink r:id="rId345" w:history="1">
        <w:r w:rsidRPr="00AF6232">
          <w:rPr>
            <w:rFonts w:ascii="Segoe UI" w:hAnsi="Segoe UI" w:cs="Segoe UI"/>
            <w:color w:val="464FEB"/>
            <w:sz w:val="21"/>
            <w:szCs w:val="21"/>
          </w:rPr>
          <w:t>[1]</w:t>
        </w:r>
      </w:hyperlink>
      <w:r w:rsidRPr="00AF6232">
        <w:rPr>
          <w:rFonts w:ascii="Segoe UI" w:hAnsi="Segoe UI" w:cs="Segoe UI"/>
          <w:sz w:val="21"/>
          <w:szCs w:val="21"/>
        </w:rPr>
        <w:t>.</w:t>
      </w:r>
    </w:p>
    <w:p w14:paraId="3129970E" w14:textId="77777777" w:rsidR="00AF6232" w:rsidRPr="00AF6232" w:rsidRDefault="00AF6232" w:rsidP="00AF6232">
      <w:pPr>
        <w:numPr>
          <w:ilvl w:val="0"/>
          <w:numId w:val="34"/>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Directing and Delegating for Efficiency:</w:t>
      </w:r>
      <w:r w:rsidRPr="00AF6232">
        <w:rPr>
          <w:rFonts w:ascii="Segoe UI" w:hAnsi="Segoe UI" w:cs="Segoe UI"/>
          <w:sz w:val="21"/>
          <w:szCs w:val="21"/>
        </w:rPr>
        <w:t xml:space="preserve"> Related to team integration is the suggestion that Employee A could </w:t>
      </w:r>
      <w:r w:rsidRPr="00AF6232">
        <w:rPr>
          <w:rFonts w:ascii="Segoe UI" w:hAnsi="Segoe UI" w:cs="Segoe UI"/>
          <w:b/>
          <w:bCs/>
          <w:sz w:val="21"/>
          <w:szCs w:val="21"/>
        </w:rPr>
        <w:t>delegate more and streamline his management approach</w:t>
      </w:r>
      <w:r w:rsidRPr="00AF6232">
        <w:rPr>
          <w:rFonts w:ascii="Segoe UI" w:hAnsi="Segoe UI" w:cs="Segoe UI"/>
          <w:sz w:val="21"/>
          <w:szCs w:val="21"/>
        </w:rPr>
        <w:t xml:space="preserve"> in certain areas. With many new team members in 2025, Employee A tended to be very hands-on to maintain quality. However, feedback indicated he might have been </w:t>
      </w:r>
      <w:r w:rsidRPr="00AF6232">
        <w:rPr>
          <w:rFonts w:ascii="Segoe UI" w:hAnsi="Segoe UI" w:cs="Segoe UI"/>
          <w:i/>
          <w:iCs/>
          <w:sz w:val="21"/>
          <w:szCs w:val="21"/>
        </w:rPr>
        <w:t>“not too on top of certain things”</w:t>
      </w:r>
      <w:r w:rsidRPr="00AF6232">
        <w:rPr>
          <w:rFonts w:ascii="Segoe UI" w:hAnsi="Segoe UI" w:cs="Segoe UI"/>
          <w:sz w:val="21"/>
          <w:szCs w:val="21"/>
        </w:rPr>
        <w:t xml:space="preserve"> like team coordination because he was stretched thin</w:t>
      </w:r>
      <w:hyperlink r:id="rId346" w:history="1">
        <w:r w:rsidRPr="00AF6232">
          <w:rPr>
            <w:rFonts w:ascii="Segoe UI" w:hAnsi="Segoe UI" w:cs="Segoe UI"/>
            <w:color w:val="464FEB"/>
            <w:sz w:val="21"/>
            <w:szCs w:val="21"/>
          </w:rPr>
          <w:t>[2]</w:t>
        </w:r>
      </w:hyperlink>
      <w:r w:rsidRPr="00AF6232">
        <w:rPr>
          <w:rFonts w:ascii="Segoe UI" w:hAnsi="Segoe UI" w:cs="Segoe UI"/>
          <w:sz w:val="21"/>
          <w:szCs w:val="21"/>
        </w:rPr>
        <w:t xml:space="preserve">. By empowering lieutenants (as he began to do by promoting Joanne to a larger role) and trusting them with operational decisions, Employee A can free himself to focus on strategic leadership and coaching the team as a whole. </w:t>
      </w:r>
      <w:proofErr w:type="spellStart"/>
      <w:r w:rsidRPr="00AF6232">
        <w:rPr>
          <w:rFonts w:ascii="Segoe UI" w:hAnsi="Segoe UI" w:cs="Segoe UI"/>
          <w:sz w:val="21"/>
          <w:szCs w:val="21"/>
        </w:rPr>
        <w:t>Niap’s</w:t>
      </w:r>
      <w:proofErr w:type="spellEnd"/>
      <w:r w:rsidRPr="00AF6232">
        <w:rPr>
          <w:rFonts w:ascii="Segoe UI" w:hAnsi="Segoe UI" w:cs="Segoe UI"/>
          <w:sz w:val="21"/>
          <w:szCs w:val="21"/>
        </w:rPr>
        <w:t xml:space="preserve"> review implicitly pointed to this – expecting Employee A to ensure all parts of Octave work in concert, rather than personally driving each part. In practice, this means doing </w:t>
      </w:r>
      <w:r w:rsidRPr="00AF6232">
        <w:rPr>
          <w:rFonts w:ascii="Segoe UI" w:hAnsi="Segoe UI" w:cs="Segoe UI"/>
          <w:b/>
          <w:bCs/>
          <w:sz w:val="21"/>
          <w:szCs w:val="21"/>
        </w:rPr>
        <w:t>less micro-management and more orchestration</w:t>
      </w:r>
      <w:r w:rsidRPr="00AF6232">
        <w:rPr>
          <w:rFonts w:ascii="Segoe UI" w:hAnsi="Segoe UI" w:cs="Segoe UI"/>
          <w:sz w:val="21"/>
          <w:szCs w:val="21"/>
        </w:rPr>
        <w:t xml:space="preserve">. Since Employee A has built a capable team, leveraging their strengths through clear delegation will improve execution speed and team development. This refinement will also help address integration: delegated project leads can coordinate among themselves, reducing reliance on Employee A as the sole hub for information. By the end of the </w:t>
      </w:r>
      <w:proofErr w:type="spellStart"/>
      <w:r w:rsidRPr="00AF6232">
        <w:rPr>
          <w:rFonts w:ascii="Segoe UI" w:hAnsi="Segoe UI" w:cs="Segoe UI"/>
          <w:sz w:val="21"/>
          <w:szCs w:val="21"/>
        </w:rPr>
        <w:t>ePCG</w:t>
      </w:r>
      <w:proofErr w:type="spellEnd"/>
      <w:r w:rsidRPr="00AF6232">
        <w:rPr>
          <w:rFonts w:ascii="Segoe UI" w:hAnsi="Segoe UI" w:cs="Segoe UI"/>
          <w:sz w:val="21"/>
          <w:szCs w:val="21"/>
        </w:rPr>
        <w:t xml:space="preserve"> session, Employee A acknowledged the need to </w:t>
      </w:r>
      <w:r w:rsidRPr="00AF6232">
        <w:rPr>
          <w:rFonts w:ascii="Segoe UI" w:hAnsi="Segoe UI" w:cs="Segoe UI"/>
          <w:i/>
          <w:iCs/>
          <w:sz w:val="21"/>
          <w:szCs w:val="21"/>
        </w:rPr>
        <w:t>“think about how we can do better”</w:t>
      </w:r>
      <w:r w:rsidRPr="00AF6232">
        <w:rPr>
          <w:rFonts w:ascii="Segoe UI" w:hAnsi="Segoe UI" w:cs="Segoe UI"/>
          <w:sz w:val="21"/>
          <w:szCs w:val="21"/>
        </w:rPr>
        <w:t xml:space="preserve"> in connecting and integrating his team</w:t>
      </w:r>
      <w:hyperlink r:id="rId347" w:history="1">
        <w:r w:rsidRPr="00AF6232">
          <w:rPr>
            <w:rFonts w:ascii="Segoe UI" w:hAnsi="Segoe UI" w:cs="Segoe UI"/>
            <w:color w:val="464FEB"/>
            <w:sz w:val="21"/>
            <w:szCs w:val="21"/>
          </w:rPr>
          <w:t>[2]</w:t>
        </w:r>
      </w:hyperlink>
      <w:r w:rsidRPr="00AF6232">
        <w:rPr>
          <w:rFonts w:ascii="Segoe UI" w:hAnsi="Segoe UI" w:cs="Segoe UI"/>
          <w:sz w:val="21"/>
          <w:szCs w:val="21"/>
        </w:rPr>
        <w:t xml:space="preserve">, </w:t>
      </w:r>
      <w:proofErr w:type="spellStart"/>
      <w:r w:rsidRPr="00AF6232">
        <w:rPr>
          <w:rFonts w:ascii="Segoe UI" w:hAnsi="Segoe UI" w:cs="Segoe UI"/>
          <w:sz w:val="21"/>
          <w:szCs w:val="21"/>
        </w:rPr>
        <w:t>signaling</w:t>
      </w:r>
      <w:proofErr w:type="spellEnd"/>
      <w:r w:rsidRPr="00AF6232">
        <w:rPr>
          <w:rFonts w:ascii="Segoe UI" w:hAnsi="Segoe UI" w:cs="Segoe UI"/>
          <w:sz w:val="21"/>
          <w:szCs w:val="21"/>
        </w:rPr>
        <w:t xml:space="preserve"> his commitment to adjust his management style accordingly.</w:t>
      </w:r>
    </w:p>
    <w:p w14:paraId="2394C0E4" w14:textId="77777777" w:rsidR="00AF6232" w:rsidRPr="00AF6232" w:rsidRDefault="00AF6232" w:rsidP="00AF6232">
      <w:pPr>
        <w:numPr>
          <w:ilvl w:val="0"/>
          <w:numId w:val="34"/>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Communication Style with Assertive Stakeholders:</w:t>
      </w:r>
      <w:r w:rsidRPr="00AF6232">
        <w:rPr>
          <w:rFonts w:ascii="Segoe UI" w:hAnsi="Segoe UI" w:cs="Segoe UI"/>
          <w:sz w:val="21"/>
          <w:szCs w:val="21"/>
        </w:rPr>
        <w:t xml:space="preserve"> Another development area is </w:t>
      </w:r>
      <w:r w:rsidRPr="00AF6232">
        <w:rPr>
          <w:rFonts w:ascii="Segoe UI" w:hAnsi="Segoe UI" w:cs="Segoe UI"/>
          <w:b/>
          <w:bCs/>
          <w:sz w:val="21"/>
          <w:szCs w:val="21"/>
        </w:rPr>
        <w:t>adapting his communication and decision-making style when dealing with very assertive or “impatient” colleagues</w:t>
      </w:r>
      <w:r w:rsidRPr="00AF6232">
        <w:rPr>
          <w:rFonts w:ascii="Segoe UI" w:hAnsi="Segoe UI" w:cs="Segoe UI"/>
          <w:sz w:val="21"/>
          <w:szCs w:val="21"/>
        </w:rPr>
        <w:t xml:space="preserve">. During the review, Niap relayed feedback from some senior team members – described as </w:t>
      </w:r>
      <w:r w:rsidRPr="00AF6232">
        <w:rPr>
          <w:rFonts w:ascii="Segoe UI" w:hAnsi="Segoe UI" w:cs="Segoe UI"/>
          <w:i/>
          <w:iCs/>
          <w:sz w:val="21"/>
          <w:szCs w:val="21"/>
        </w:rPr>
        <w:t>“the alpha personalities”</w:t>
      </w:r>
      <w:r w:rsidRPr="00AF6232">
        <w:rPr>
          <w:rFonts w:ascii="Segoe UI" w:hAnsi="Segoe UI" w:cs="Segoe UI"/>
          <w:sz w:val="21"/>
          <w:szCs w:val="21"/>
        </w:rPr>
        <w:t xml:space="preserve"> – such as Subi and Sherin Goh, who felt Employee A could be quicker and more direct in his responses</w:t>
      </w:r>
      <w:hyperlink r:id="rId348" w:history="1">
        <w:r w:rsidRPr="00AF6232">
          <w:rPr>
            <w:rFonts w:ascii="Segoe UI" w:hAnsi="Segoe UI" w:cs="Segoe UI"/>
            <w:color w:val="464FEB"/>
            <w:sz w:val="21"/>
            <w:szCs w:val="21"/>
          </w:rPr>
          <w:t>[2]</w:t>
        </w:r>
      </w:hyperlink>
      <w:hyperlink r:id="rId349" w:history="1">
        <w:r w:rsidRPr="00AF6232">
          <w:rPr>
            <w:rFonts w:ascii="Segoe UI" w:hAnsi="Segoe UI" w:cs="Segoe UI"/>
            <w:color w:val="464FEB"/>
            <w:sz w:val="21"/>
            <w:szCs w:val="21"/>
          </w:rPr>
          <w:t>[2]</w:t>
        </w:r>
      </w:hyperlink>
      <w:r w:rsidRPr="00AF6232">
        <w:rPr>
          <w:rFonts w:ascii="Segoe UI" w:hAnsi="Segoe UI" w:cs="Segoe UI"/>
          <w:sz w:val="21"/>
          <w:szCs w:val="21"/>
        </w:rPr>
        <w:t>. These colleagues tend to be extremely output-focused and pressed for time. They reportedly wanted Employee A to cut to the chase with simple “yes/no” answers or immediate actions, whereas Employee A’s natural style is more thoughtful and context-rich (he often provides background or explores options, which can come across as slow or evasive to them)</w:t>
      </w:r>
      <w:hyperlink r:id="rId350" w:history="1">
        <w:r w:rsidRPr="00AF6232">
          <w:rPr>
            <w:rFonts w:ascii="Segoe UI" w:hAnsi="Segoe UI" w:cs="Segoe UI"/>
            <w:color w:val="464FEB"/>
            <w:sz w:val="21"/>
            <w:szCs w:val="21"/>
          </w:rPr>
          <w:t>[2]</w:t>
        </w:r>
      </w:hyperlink>
      <w:r w:rsidRPr="00AF6232">
        <w:rPr>
          <w:rFonts w:ascii="Segoe UI" w:hAnsi="Segoe UI" w:cs="Segoe UI"/>
          <w:sz w:val="21"/>
          <w:szCs w:val="21"/>
        </w:rPr>
        <w:t xml:space="preserve">. This mismatch in working style led to some frustration. As Niap summarized, </w:t>
      </w:r>
      <w:r w:rsidRPr="00AF6232">
        <w:rPr>
          <w:rFonts w:ascii="Segoe UI" w:hAnsi="Segoe UI" w:cs="Segoe UI"/>
          <w:i/>
          <w:iCs/>
          <w:sz w:val="21"/>
          <w:szCs w:val="21"/>
        </w:rPr>
        <w:t>“the aggressive ones are always in a rush…your style is more deliberate, hence a perceived mismatch in speed of execution”</w:t>
      </w:r>
      <w:hyperlink r:id="rId351" w:history="1">
        <w:r w:rsidRPr="00AF6232">
          <w:rPr>
            <w:rFonts w:ascii="Segoe UI" w:hAnsi="Segoe UI" w:cs="Segoe UI"/>
            <w:color w:val="464FEB"/>
            <w:sz w:val="21"/>
            <w:szCs w:val="21"/>
          </w:rPr>
          <w:t>[2]</w:t>
        </w:r>
      </w:hyperlink>
      <w:r w:rsidRPr="00AF6232">
        <w:rPr>
          <w:rFonts w:ascii="Segoe UI" w:hAnsi="Segoe UI" w:cs="Segoe UI"/>
          <w:sz w:val="21"/>
          <w:szCs w:val="21"/>
        </w:rPr>
        <w:t xml:space="preserve">. Going forward, Employee A </w:t>
      </w:r>
      <w:r w:rsidRPr="00AF6232">
        <w:rPr>
          <w:rFonts w:ascii="Segoe UI" w:hAnsi="Segoe UI" w:cs="Segoe UI"/>
          <w:b/>
          <w:bCs/>
          <w:sz w:val="21"/>
          <w:szCs w:val="21"/>
        </w:rPr>
        <w:t>should calibrate his approach</w:t>
      </w:r>
      <w:r w:rsidRPr="00AF6232">
        <w:rPr>
          <w:rFonts w:ascii="Segoe UI" w:hAnsi="Segoe UI" w:cs="Segoe UI"/>
          <w:sz w:val="21"/>
          <w:szCs w:val="21"/>
        </w:rPr>
        <w:t xml:space="preserve"> with such stakeholders: in situations that call for quick alignment, he can strive to be more concise and decisive, delivering the headline up front before the explanation. This doesn’t mean abandoning his thoughtful approach, but rather flexing his style – e.g., giving a clear recommendation first, then offering context if asked, which would satisfy the “alpha” managers’ need for clarity while still providing depth. Employee A took this feedback in stride, even humorously conceding </w:t>
      </w:r>
      <w:r w:rsidRPr="00AF6232">
        <w:rPr>
          <w:rFonts w:ascii="Segoe UI" w:hAnsi="Segoe UI" w:cs="Segoe UI"/>
          <w:i/>
          <w:iCs/>
          <w:sz w:val="21"/>
          <w:szCs w:val="21"/>
        </w:rPr>
        <w:t>“maybe I can’t manage alpha women very well”</w:t>
      </w:r>
      <w:r w:rsidRPr="00AF6232">
        <w:rPr>
          <w:rFonts w:ascii="Segoe UI" w:hAnsi="Segoe UI" w:cs="Segoe UI"/>
          <w:sz w:val="21"/>
          <w:szCs w:val="21"/>
        </w:rPr>
        <w:t xml:space="preserve"> and agreeing that if it’s his communication style at fault, it’s something he needs to work on</w:t>
      </w:r>
      <w:hyperlink r:id="rId352" w:history="1">
        <w:r w:rsidRPr="00AF6232">
          <w:rPr>
            <w:rFonts w:ascii="Segoe UI" w:hAnsi="Segoe UI" w:cs="Segoe UI"/>
            <w:color w:val="464FEB"/>
            <w:sz w:val="21"/>
            <w:szCs w:val="21"/>
          </w:rPr>
          <w:t>[2]</w:t>
        </w:r>
      </w:hyperlink>
      <w:hyperlink r:id="rId353" w:history="1">
        <w:r w:rsidRPr="00AF6232">
          <w:rPr>
            <w:rFonts w:ascii="Segoe UI" w:hAnsi="Segoe UI" w:cs="Segoe UI"/>
            <w:color w:val="464FEB"/>
            <w:sz w:val="21"/>
            <w:szCs w:val="21"/>
          </w:rPr>
          <w:t>[2]</w:t>
        </w:r>
      </w:hyperlink>
      <w:r w:rsidRPr="00AF6232">
        <w:rPr>
          <w:rFonts w:ascii="Segoe UI" w:hAnsi="Segoe UI" w:cs="Segoe UI"/>
          <w:sz w:val="21"/>
          <w:szCs w:val="21"/>
        </w:rPr>
        <w:t>. He also correctly noted that bridging stylistic gaps “requires both parties” to some extent</w:t>
      </w:r>
      <w:hyperlink r:id="rId354" w:history="1">
        <w:r w:rsidRPr="00AF6232">
          <w:rPr>
            <w:rFonts w:ascii="Segoe UI" w:hAnsi="Segoe UI" w:cs="Segoe UI"/>
            <w:color w:val="464FEB"/>
            <w:sz w:val="21"/>
            <w:szCs w:val="21"/>
          </w:rPr>
          <w:t>[2]</w:t>
        </w:r>
      </w:hyperlink>
      <w:r w:rsidRPr="00AF6232">
        <w:rPr>
          <w:rFonts w:ascii="Segoe UI" w:hAnsi="Segoe UI" w:cs="Segoe UI"/>
          <w:sz w:val="21"/>
          <w:szCs w:val="21"/>
        </w:rPr>
        <w:t xml:space="preserve">, but as a leader, he is prepared to make the first move in adjusting. By improving the </w:t>
      </w:r>
      <w:r w:rsidRPr="00AF6232">
        <w:rPr>
          <w:rFonts w:ascii="Segoe UI" w:hAnsi="Segoe UI" w:cs="Segoe UI"/>
          <w:b/>
          <w:bCs/>
          <w:sz w:val="21"/>
          <w:szCs w:val="21"/>
        </w:rPr>
        <w:t>speed and directness</w:t>
      </w:r>
      <w:r w:rsidRPr="00AF6232">
        <w:rPr>
          <w:rFonts w:ascii="Segoe UI" w:hAnsi="Segoe UI" w:cs="Segoe UI"/>
          <w:sz w:val="21"/>
          <w:szCs w:val="21"/>
        </w:rPr>
        <w:t xml:space="preserve"> of his communication when appropriate, Employee A can better align with peers like Sherin and Subi, reducing friction and building stronger collaboration. This will be crucial as he continues to champion initiatives that need support from these driving personalities.</w:t>
      </w:r>
    </w:p>
    <w:p w14:paraId="1CB8A546" w14:textId="77777777" w:rsidR="00AF6232" w:rsidRPr="00AF6232" w:rsidRDefault="00AF6232" w:rsidP="00AF6232">
      <w:pPr>
        <w:numPr>
          <w:ilvl w:val="0"/>
          <w:numId w:val="34"/>
        </w:numPr>
        <w:spacing w:before="100" w:beforeAutospacing="1" w:after="100" w:afterAutospacing="1" w:line="300" w:lineRule="atLeast"/>
        <w:rPr>
          <w:rFonts w:ascii="Segoe UI" w:hAnsi="Segoe UI" w:cs="Segoe UI"/>
          <w:sz w:val="21"/>
          <w:szCs w:val="21"/>
        </w:rPr>
      </w:pPr>
      <w:r w:rsidRPr="00AF6232">
        <w:rPr>
          <w:rFonts w:ascii="Segoe UI" w:hAnsi="Segoe UI" w:cs="Segoe UI"/>
          <w:b/>
          <w:bCs/>
          <w:sz w:val="21"/>
          <w:szCs w:val="21"/>
        </w:rPr>
        <w:t>Maintaining Focus &amp; Prioritization:</w:t>
      </w:r>
      <w:r w:rsidRPr="00AF6232">
        <w:rPr>
          <w:rFonts w:ascii="Segoe UI" w:hAnsi="Segoe UI" w:cs="Segoe UI"/>
          <w:sz w:val="21"/>
          <w:szCs w:val="21"/>
        </w:rPr>
        <w:t xml:space="preserve"> Implied in the </w:t>
      </w:r>
      <w:proofErr w:type="spellStart"/>
      <w:r w:rsidRPr="00AF6232">
        <w:rPr>
          <w:rFonts w:ascii="Segoe UI" w:hAnsi="Segoe UI" w:cs="Segoe UI"/>
          <w:sz w:val="21"/>
          <w:szCs w:val="21"/>
        </w:rPr>
        <w:t>year’s experience</w:t>
      </w:r>
      <w:proofErr w:type="spellEnd"/>
      <w:r w:rsidRPr="00AF6232">
        <w:rPr>
          <w:rFonts w:ascii="Segoe UI" w:hAnsi="Segoe UI" w:cs="Segoe UI"/>
          <w:sz w:val="21"/>
          <w:szCs w:val="21"/>
        </w:rPr>
        <w:t xml:space="preserve"> is the need for Employee A to further sharpen his </w:t>
      </w:r>
      <w:r w:rsidRPr="00AF6232">
        <w:rPr>
          <w:rFonts w:ascii="Segoe UI" w:hAnsi="Segoe UI" w:cs="Segoe UI"/>
          <w:b/>
          <w:bCs/>
          <w:sz w:val="21"/>
          <w:szCs w:val="21"/>
        </w:rPr>
        <w:t>prioritization and focus</w:t>
      </w:r>
      <w:r w:rsidRPr="00AF6232">
        <w:rPr>
          <w:rFonts w:ascii="Segoe UI" w:hAnsi="Segoe UI" w:cs="Segoe UI"/>
          <w:sz w:val="21"/>
          <w:szCs w:val="21"/>
        </w:rPr>
        <w:t xml:space="preserve">. He handled a broad portfolio in 2025 – from tech projects to leadership development to social impact – which at times stretched him thin. While Employee A consistently rose to each challenge, balancing so many priorities can dilute focus. </w:t>
      </w:r>
      <w:proofErr w:type="spellStart"/>
      <w:r w:rsidRPr="00AF6232">
        <w:rPr>
          <w:rFonts w:ascii="Segoe UI" w:hAnsi="Segoe UI" w:cs="Segoe UI"/>
          <w:sz w:val="21"/>
          <w:szCs w:val="21"/>
        </w:rPr>
        <w:t>Niap’s</w:t>
      </w:r>
      <w:proofErr w:type="spellEnd"/>
      <w:r w:rsidRPr="00AF6232">
        <w:rPr>
          <w:rFonts w:ascii="Segoe UI" w:hAnsi="Segoe UI" w:cs="Segoe UI"/>
          <w:sz w:val="21"/>
          <w:szCs w:val="21"/>
        </w:rPr>
        <w:t xml:space="preserve"> feedback that Employee A should “move a little faster” on some fronts and be more “on top” of team coordination suggests that by concentrating on fewer key initiatives at a time, Employee A might achieve even greater depth and speed in each</w:t>
      </w:r>
      <w:hyperlink r:id="rId355" w:history="1">
        <w:r w:rsidRPr="00AF6232">
          <w:rPr>
            <w:rFonts w:ascii="Segoe UI" w:hAnsi="Segoe UI" w:cs="Segoe UI"/>
            <w:color w:val="464FEB"/>
            <w:sz w:val="21"/>
            <w:szCs w:val="21"/>
          </w:rPr>
          <w:t>[2]</w:t>
        </w:r>
      </w:hyperlink>
      <w:hyperlink r:id="rId356" w:history="1">
        <w:r w:rsidRPr="00AF6232">
          <w:rPr>
            <w:rFonts w:ascii="Segoe UI" w:hAnsi="Segoe UI" w:cs="Segoe UI"/>
            <w:color w:val="464FEB"/>
            <w:sz w:val="21"/>
            <w:szCs w:val="21"/>
          </w:rPr>
          <w:t>[2]</w:t>
        </w:r>
      </w:hyperlink>
      <w:r w:rsidRPr="00AF6232">
        <w:rPr>
          <w:rFonts w:ascii="Segoe UI" w:hAnsi="Segoe UI" w:cs="Segoe UI"/>
          <w:sz w:val="21"/>
          <w:szCs w:val="21"/>
        </w:rPr>
        <w:t xml:space="preserve">. In the </w:t>
      </w:r>
      <w:proofErr w:type="spellStart"/>
      <w:r w:rsidRPr="00AF6232">
        <w:rPr>
          <w:rFonts w:ascii="Segoe UI" w:hAnsi="Segoe UI" w:cs="Segoe UI"/>
          <w:sz w:val="21"/>
          <w:szCs w:val="21"/>
        </w:rPr>
        <w:t>ePCG</w:t>
      </w:r>
      <w:proofErr w:type="spellEnd"/>
      <w:r w:rsidRPr="00AF6232">
        <w:rPr>
          <w:rFonts w:ascii="Segoe UI" w:hAnsi="Segoe UI" w:cs="Segoe UI"/>
          <w:sz w:val="21"/>
          <w:szCs w:val="21"/>
        </w:rPr>
        <w:t xml:space="preserve"> discussion, Employee A himself reflected on the </w:t>
      </w:r>
      <w:r w:rsidRPr="00AF6232">
        <w:rPr>
          <w:rFonts w:ascii="Segoe UI" w:hAnsi="Segoe UI" w:cs="Segoe UI"/>
          <w:i/>
          <w:iCs/>
          <w:sz w:val="21"/>
          <w:szCs w:val="21"/>
        </w:rPr>
        <w:t>“exorbitant”</w:t>
      </w:r>
      <w:r w:rsidRPr="00AF6232">
        <w:rPr>
          <w:rFonts w:ascii="Segoe UI" w:hAnsi="Segoe UI" w:cs="Segoe UI"/>
          <w:sz w:val="21"/>
          <w:szCs w:val="21"/>
        </w:rPr>
        <w:t xml:space="preserve"> scope and complexity of what he was tasked with (e.g. building </w:t>
      </w:r>
      <w:proofErr w:type="spellStart"/>
      <w:r w:rsidRPr="00AF6232">
        <w:rPr>
          <w:rFonts w:ascii="Segoe UI" w:hAnsi="Segoe UI" w:cs="Segoe UI"/>
          <w:sz w:val="21"/>
          <w:szCs w:val="21"/>
        </w:rPr>
        <w:t>TalentVerse</w:t>
      </w:r>
      <w:proofErr w:type="spellEnd"/>
      <w:r w:rsidRPr="00AF6232">
        <w:rPr>
          <w:rFonts w:ascii="Segoe UI" w:hAnsi="Segoe UI" w:cs="Segoe UI"/>
          <w:sz w:val="21"/>
          <w:szCs w:val="21"/>
        </w:rPr>
        <w:t xml:space="preserve"> with minimal resources) and how he brought in partners to cope</w:t>
      </w:r>
      <w:hyperlink r:id="rId357" w:history="1">
        <w:r w:rsidRPr="00AF6232">
          <w:rPr>
            <w:rFonts w:ascii="Segoe UI" w:hAnsi="Segoe UI" w:cs="Segoe UI"/>
            <w:color w:val="464FEB"/>
            <w:sz w:val="21"/>
            <w:szCs w:val="21"/>
          </w:rPr>
          <w:t>[2]</w:t>
        </w:r>
      </w:hyperlink>
      <w:r w:rsidRPr="00AF6232">
        <w:rPr>
          <w:rFonts w:ascii="Segoe UI" w:hAnsi="Segoe UI" w:cs="Segoe UI"/>
          <w:sz w:val="21"/>
          <w:szCs w:val="21"/>
        </w:rPr>
        <w:t xml:space="preserve">. Going forward, developing the discipline to </w:t>
      </w:r>
      <w:r w:rsidRPr="00AF6232">
        <w:rPr>
          <w:rFonts w:ascii="Segoe UI" w:hAnsi="Segoe UI" w:cs="Segoe UI"/>
          <w:b/>
          <w:bCs/>
          <w:sz w:val="21"/>
          <w:szCs w:val="21"/>
        </w:rPr>
        <w:t>prioritize ruthlessly</w:t>
      </w:r>
      <w:r w:rsidRPr="00AF6232">
        <w:rPr>
          <w:rFonts w:ascii="Segoe UI" w:hAnsi="Segoe UI" w:cs="Segoe UI"/>
          <w:sz w:val="21"/>
          <w:szCs w:val="21"/>
        </w:rPr>
        <w:t xml:space="preserve"> – delegating or deferring lower-impact activities – will allow him to sustain high performance without overextension. This was not explicitly stated as a critique, but it underlies some of the year’s challenges. By </w:t>
      </w:r>
      <w:proofErr w:type="spellStart"/>
      <w:r w:rsidRPr="00AF6232">
        <w:rPr>
          <w:rFonts w:ascii="Segoe UI" w:hAnsi="Segoe UI" w:cs="Segoe UI"/>
          <w:sz w:val="21"/>
          <w:szCs w:val="21"/>
        </w:rPr>
        <w:t>channeling</w:t>
      </w:r>
      <w:proofErr w:type="spellEnd"/>
      <w:r w:rsidRPr="00AF6232">
        <w:rPr>
          <w:rFonts w:ascii="Segoe UI" w:hAnsi="Segoe UI" w:cs="Segoe UI"/>
          <w:sz w:val="21"/>
          <w:szCs w:val="21"/>
        </w:rPr>
        <w:t xml:space="preserve"> his energies into the areas where he adds the most value and letting go of others, Employee A can maintain his effectiveness and also model sustainable leadership (important in a well-being culture). In the review, Niap and Employee A began aligning on this by discussing a more focused role for Employee A post-restructuring (e.g. zeroing in on Social Transformation and AI advisory, rather than a wide operational remit)</w:t>
      </w:r>
      <w:hyperlink r:id="rId358" w:history="1">
        <w:r w:rsidRPr="00AF6232">
          <w:rPr>
            <w:rFonts w:ascii="Segoe UI" w:hAnsi="Segoe UI" w:cs="Segoe UI"/>
            <w:color w:val="464FEB"/>
            <w:sz w:val="21"/>
            <w:szCs w:val="21"/>
          </w:rPr>
          <w:t>[1]</w:t>
        </w:r>
      </w:hyperlink>
      <w:hyperlink r:id="rId359" w:history="1">
        <w:r w:rsidRPr="00AF6232">
          <w:rPr>
            <w:rFonts w:ascii="Segoe UI" w:hAnsi="Segoe UI" w:cs="Segoe UI"/>
            <w:color w:val="464FEB"/>
            <w:sz w:val="21"/>
            <w:szCs w:val="21"/>
          </w:rPr>
          <w:t>[1]</w:t>
        </w:r>
      </w:hyperlink>
      <w:r w:rsidRPr="00AF6232">
        <w:rPr>
          <w:rFonts w:ascii="Segoe UI" w:hAnsi="Segoe UI" w:cs="Segoe UI"/>
          <w:sz w:val="21"/>
          <w:szCs w:val="21"/>
        </w:rPr>
        <w:t xml:space="preserve">. This restructuring will inherently help with prioritization, but Employee A’s own practice of saying “no” or “later” to non-critical requests will be equally key. </w:t>
      </w:r>
    </w:p>
    <w:p w14:paraId="72A93BFA"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It’s worth noting that these improvement areas were highlighted </w:t>
      </w:r>
      <w:r w:rsidRPr="00AF6232">
        <w:rPr>
          <w:rFonts w:ascii="Segoe UI" w:hAnsi="Segoe UI" w:cs="Segoe UI"/>
          <w:b/>
          <w:bCs/>
          <w:sz w:val="21"/>
          <w:szCs w:val="21"/>
        </w:rPr>
        <w:t>in context of Employee A’s growth into higher leadership roles</w:t>
      </w:r>
      <w:r w:rsidRPr="00AF6232">
        <w:rPr>
          <w:rFonts w:ascii="Segoe UI" w:hAnsi="Segoe UI" w:cs="Segoe UI"/>
          <w:sz w:val="21"/>
          <w:szCs w:val="21"/>
        </w:rPr>
        <w:t>. The feedback – improving team integration and adapting communication – came alongside the decision not to appoint him as Octave’s Executive Director at this time</w:t>
      </w:r>
      <w:hyperlink r:id="rId360" w:history="1">
        <w:r w:rsidRPr="00AF6232">
          <w:rPr>
            <w:rFonts w:ascii="Segoe UI" w:hAnsi="Segoe UI" w:cs="Segoe UI"/>
            <w:color w:val="464FEB"/>
            <w:sz w:val="21"/>
            <w:szCs w:val="21"/>
          </w:rPr>
          <w:t>[2]</w:t>
        </w:r>
      </w:hyperlink>
      <w:r w:rsidRPr="00AF6232">
        <w:rPr>
          <w:rFonts w:ascii="Segoe UI" w:hAnsi="Segoe UI" w:cs="Segoe UI"/>
          <w:sz w:val="21"/>
          <w:szCs w:val="21"/>
        </w:rPr>
        <w:t xml:space="preserve">. Essentially, leadership saw enormous potential and achievements in Employee A, and by addressing these specific gaps, he would be better positioned for expanded leadership in the future. Employee A received this input openly, thanking Niap for the </w:t>
      </w:r>
      <w:proofErr w:type="spellStart"/>
      <w:r w:rsidRPr="00AF6232">
        <w:rPr>
          <w:rFonts w:ascii="Segoe UI" w:hAnsi="Segoe UI" w:cs="Segoe UI"/>
          <w:sz w:val="21"/>
          <w:szCs w:val="21"/>
        </w:rPr>
        <w:t>candor</w:t>
      </w:r>
      <w:proofErr w:type="spellEnd"/>
      <w:r w:rsidRPr="00AF6232">
        <w:rPr>
          <w:rFonts w:ascii="Segoe UI" w:hAnsi="Segoe UI" w:cs="Segoe UI"/>
          <w:sz w:val="21"/>
          <w:szCs w:val="21"/>
        </w:rPr>
        <w:t xml:space="preserve"> and indicating his resolve to apply it</w:t>
      </w:r>
      <w:hyperlink r:id="rId361" w:history="1">
        <w:r w:rsidRPr="00AF6232">
          <w:rPr>
            <w:rFonts w:ascii="Segoe UI" w:hAnsi="Segoe UI" w:cs="Segoe UI"/>
            <w:color w:val="464FEB"/>
            <w:sz w:val="21"/>
            <w:szCs w:val="21"/>
          </w:rPr>
          <w:t>[2]</w:t>
        </w:r>
      </w:hyperlink>
      <w:hyperlink r:id="rId362" w:history="1">
        <w:r w:rsidRPr="00AF6232">
          <w:rPr>
            <w:rFonts w:ascii="Segoe UI" w:hAnsi="Segoe UI" w:cs="Segoe UI"/>
            <w:color w:val="464FEB"/>
            <w:sz w:val="21"/>
            <w:szCs w:val="21"/>
          </w:rPr>
          <w:t>[2]</w:t>
        </w:r>
      </w:hyperlink>
      <w:r w:rsidRPr="00AF6232">
        <w:rPr>
          <w:rFonts w:ascii="Segoe UI" w:hAnsi="Segoe UI" w:cs="Segoe UI"/>
          <w:sz w:val="21"/>
          <w:szCs w:val="21"/>
        </w:rPr>
        <w:t>. He has already begun taking action, as evidenced by the structures he put in place (weekly team forums) and the introspection he’s doing around his management style. For example, he mentioned that he’s been questioning how he can communicate differently and recognized the validity behind the feedback after examining the “evidence” of repeated issues</w:t>
      </w:r>
      <w:hyperlink r:id="rId363" w:history="1">
        <w:r w:rsidRPr="00AF6232">
          <w:rPr>
            <w:rFonts w:ascii="Segoe UI" w:hAnsi="Segoe UI" w:cs="Segoe UI"/>
            <w:color w:val="464FEB"/>
            <w:sz w:val="21"/>
            <w:szCs w:val="21"/>
          </w:rPr>
          <w:t>[2]</w:t>
        </w:r>
      </w:hyperlink>
      <w:hyperlink r:id="rId364" w:history="1">
        <w:r w:rsidRPr="00AF6232">
          <w:rPr>
            <w:rFonts w:ascii="Segoe UI" w:hAnsi="Segoe UI" w:cs="Segoe UI"/>
            <w:color w:val="464FEB"/>
            <w:sz w:val="21"/>
            <w:szCs w:val="21"/>
          </w:rPr>
          <w:t>[2]</w:t>
        </w:r>
      </w:hyperlink>
      <w:r w:rsidRPr="00AF6232">
        <w:rPr>
          <w:rFonts w:ascii="Segoe UI" w:hAnsi="Segoe UI" w:cs="Segoe UI"/>
          <w:sz w:val="21"/>
          <w:szCs w:val="21"/>
        </w:rPr>
        <w:t xml:space="preserve">. This reflective and proactive response bodes well for his development. </w:t>
      </w:r>
    </w:p>
    <w:p w14:paraId="616EE5F2"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The table below summarizes Employee A’s key strengths and improvement areas, with examples from 2025: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1"/>
        <w:gridCol w:w="6895"/>
      </w:tblGrid>
      <w:tr w:rsidR="00AF6232" w:rsidRPr="00AF6232" w14:paraId="193EED73" w14:textId="77777777">
        <w:trPr>
          <w:tblHeader/>
          <w:tblCellSpacing w:w="15" w:type="dxa"/>
        </w:trPr>
        <w:tc>
          <w:tcPr>
            <w:tcW w:w="0" w:type="auto"/>
            <w:vAlign w:val="center"/>
            <w:hideMark/>
          </w:tcPr>
          <w:p w14:paraId="76786621" w14:textId="77777777" w:rsidR="00AF6232" w:rsidRPr="00AF6232" w:rsidRDefault="00AF6232" w:rsidP="00AF6232">
            <w:pPr>
              <w:jc w:val="center"/>
              <w:rPr>
                <w:b/>
                <w:bCs/>
                <w:sz w:val="24"/>
                <w:szCs w:val="24"/>
              </w:rPr>
            </w:pPr>
            <w:r w:rsidRPr="00AF6232">
              <w:rPr>
                <w:b/>
                <w:bCs/>
                <w:sz w:val="24"/>
                <w:szCs w:val="24"/>
              </w:rPr>
              <w:t>Leadership Strengths</w:t>
            </w:r>
          </w:p>
        </w:tc>
        <w:tc>
          <w:tcPr>
            <w:tcW w:w="0" w:type="auto"/>
            <w:vAlign w:val="center"/>
            <w:hideMark/>
          </w:tcPr>
          <w:p w14:paraId="03F2EB71" w14:textId="77777777" w:rsidR="00AF6232" w:rsidRPr="00AF6232" w:rsidRDefault="00AF6232" w:rsidP="00AF6232">
            <w:pPr>
              <w:jc w:val="center"/>
              <w:rPr>
                <w:b/>
                <w:bCs/>
                <w:sz w:val="24"/>
                <w:szCs w:val="24"/>
              </w:rPr>
            </w:pPr>
            <w:r w:rsidRPr="00AF6232">
              <w:rPr>
                <w:b/>
                <w:bCs/>
                <w:sz w:val="24"/>
                <w:szCs w:val="24"/>
              </w:rPr>
              <w:t xml:space="preserve">Example </w:t>
            </w:r>
            <w:proofErr w:type="spellStart"/>
            <w:r w:rsidRPr="00AF6232">
              <w:rPr>
                <w:b/>
                <w:bCs/>
                <w:sz w:val="24"/>
                <w:szCs w:val="24"/>
              </w:rPr>
              <w:t>Behaviors</w:t>
            </w:r>
            <w:proofErr w:type="spellEnd"/>
            <w:r w:rsidRPr="00AF6232">
              <w:rPr>
                <w:b/>
                <w:bCs/>
                <w:sz w:val="24"/>
                <w:szCs w:val="24"/>
              </w:rPr>
              <w:t xml:space="preserve"> &amp; Outcomes (2025)</w:t>
            </w:r>
          </w:p>
        </w:tc>
      </w:tr>
      <w:tr w:rsidR="00AF6232" w:rsidRPr="00AF6232" w14:paraId="2FFAC4E6" w14:textId="77777777">
        <w:trPr>
          <w:tblCellSpacing w:w="15" w:type="dxa"/>
        </w:trPr>
        <w:tc>
          <w:tcPr>
            <w:tcW w:w="0" w:type="auto"/>
            <w:vAlign w:val="center"/>
            <w:hideMark/>
          </w:tcPr>
          <w:p w14:paraId="1E280C60" w14:textId="77777777" w:rsidR="00AF6232" w:rsidRPr="00AF6232" w:rsidRDefault="00AF6232" w:rsidP="00AF6232">
            <w:pPr>
              <w:rPr>
                <w:sz w:val="24"/>
                <w:szCs w:val="24"/>
              </w:rPr>
            </w:pPr>
            <w:r w:rsidRPr="00AF6232">
              <w:rPr>
                <w:b/>
                <w:bCs/>
                <w:sz w:val="24"/>
                <w:szCs w:val="24"/>
              </w:rPr>
              <w:t>Driving Innovation &amp; Transformation</w:t>
            </w:r>
          </w:p>
        </w:tc>
        <w:tc>
          <w:tcPr>
            <w:tcW w:w="0" w:type="auto"/>
            <w:vAlign w:val="center"/>
            <w:hideMark/>
          </w:tcPr>
          <w:p w14:paraId="016F902D" w14:textId="77777777" w:rsidR="00AF6232" w:rsidRPr="00AF6232" w:rsidRDefault="00AF6232" w:rsidP="00AF6232">
            <w:pPr>
              <w:rPr>
                <w:sz w:val="24"/>
                <w:szCs w:val="24"/>
              </w:rPr>
            </w:pPr>
            <w:r w:rsidRPr="00AF6232">
              <w:rPr>
                <w:sz w:val="24"/>
                <w:szCs w:val="24"/>
              </w:rPr>
              <w:t xml:space="preserve">Led AI and digital initiatives that modernized TPC’s operations. For instance, he implemented an AI-based performance management system and automated 24 workflows, helping </w:t>
            </w:r>
            <w:proofErr w:type="spellStart"/>
            <w:r w:rsidRPr="00AF6232">
              <w:rPr>
                <w:sz w:val="24"/>
                <w:szCs w:val="24"/>
              </w:rPr>
              <w:t>instill</w:t>
            </w:r>
            <w:proofErr w:type="spellEnd"/>
            <w:r w:rsidRPr="00AF6232">
              <w:rPr>
                <w:sz w:val="24"/>
                <w:szCs w:val="24"/>
              </w:rPr>
              <w:t xml:space="preserve"> a data-driven mindset. Outcomes included faster processes and a more AI-ready culture, earning praise for being “instrumental” in the AI mindset shift.</w:t>
            </w:r>
          </w:p>
        </w:tc>
      </w:tr>
      <w:tr w:rsidR="00AF6232" w:rsidRPr="00AF6232" w14:paraId="5B5AF125" w14:textId="77777777">
        <w:trPr>
          <w:tblCellSpacing w:w="15" w:type="dxa"/>
        </w:trPr>
        <w:tc>
          <w:tcPr>
            <w:tcW w:w="0" w:type="auto"/>
            <w:vAlign w:val="center"/>
            <w:hideMark/>
          </w:tcPr>
          <w:p w14:paraId="42606806" w14:textId="77777777" w:rsidR="00AF6232" w:rsidRPr="00AF6232" w:rsidRDefault="00AF6232" w:rsidP="00AF6232">
            <w:pPr>
              <w:rPr>
                <w:sz w:val="24"/>
                <w:szCs w:val="24"/>
              </w:rPr>
            </w:pPr>
            <w:r w:rsidRPr="00AF6232">
              <w:rPr>
                <w:b/>
                <w:bCs/>
                <w:sz w:val="24"/>
                <w:szCs w:val="24"/>
              </w:rPr>
              <w:t>External-Internal Bridging</w:t>
            </w:r>
          </w:p>
        </w:tc>
        <w:tc>
          <w:tcPr>
            <w:tcW w:w="0" w:type="auto"/>
            <w:vAlign w:val="center"/>
            <w:hideMark/>
          </w:tcPr>
          <w:p w14:paraId="07838390" w14:textId="77777777" w:rsidR="00AF6232" w:rsidRPr="00AF6232" w:rsidRDefault="00AF6232" w:rsidP="00AF6232">
            <w:pPr>
              <w:rPr>
                <w:sz w:val="24"/>
                <w:szCs w:val="24"/>
              </w:rPr>
            </w:pPr>
            <w:r w:rsidRPr="00AF6232">
              <w:rPr>
                <w:sz w:val="24"/>
                <w:szCs w:val="24"/>
              </w:rPr>
              <w:t>Forged partnerships (e.g. with NUS, government) to enhance projects like the Social Transformation Project. Internally, engaged stakeholders across departments (HR, IT, business units) to roll out programs (</w:t>
            </w:r>
            <w:proofErr w:type="spellStart"/>
            <w:r w:rsidRPr="00AF6232">
              <w:rPr>
                <w:sz w:val="24"/>
                <w:szCs w:val="24"/>
              </w:rPr>
              <w:t>ePCG</w:t>
            </w:r>
            <w:proofErr w:type="spellEnd"/>
            <w:r w:rsidRPr="00AF6232">
              <w:rPr>
                <w:sz w:val="24"/>
                <w:szCs w:val="24"/>
              </w:rPr>
              <w:t>, 360 feedback). This ability to unite diverse parties was highlighted by Niap as a strength in bringing “external and internal elements” together, visible in STP’s launch and seamless group-wide OKR adoption.</w:t>
            </w:r>
          </w:p>
        </w:tc>
      </w:tr>
      <w:tr w:rsidR="00AF6232" w:rsidRPr="00AF6232" w14:paraId="5D882739" w14:textId="77777777">
        <w:trPr>
          <w:tblCellSpacing w:w="15" w:type="dxa"/>
        </w:trPr>
        <w:tc>
          <w:tcPr>
            <w:tcW w:w="0" w:type="auto"/>
            <w:vAlign w:val="center"/>
            <w:hideMark/>
          </w:tcPr>
          <w:p w14:paraId="4AE1FD5F" w14:textId="77777777" w:rsidR="00AF6232" w:rsidRPr="00AF6232" w:rsidRDefault="00AF6232" w:rsidP="00AF6232">
            <w:pPr>
              <w:rPr>
                <w:sz w:val="24"/>
                <w:szCs w:val="24"/>
              </w:rPr>
            </w:pPr>
            <w:r w:rsidRPr="00AF6232">
              <w:rPr>
                <w:b/>
                <w:bCs/>
                <w:sz w:val="24"/>
                <w:szCs w:val="24"/>
              </w:rPr>
              <w:t>Communication &amp; Engagement</w:t>
            </w:r>
          </w:p>
        </w:tc>
        <w:tc>
          <w:tcPr>
            <w:tcW w:w="0" w:type="auto"/>
            <w:vAlign w:val="center"/>
            <w:hideMark/>
          </w:tcPr>
          <w:p w14:paraId="5AC1F2B0" w14:textId="77777777" w:rsidR="00AF6232" w:rsidRPr="00AF6232" w:rsidRDefault="00AF6232" w:rsidP="00AF6232">
            <w:pPr>
              <w:rPr>
                <w:sz w:val="24"/>
                <w:szCs w:val="24"/>
              </w:rPr>
            </w:pPr>
            <w:r w:rsidRPr="00AF6232">
              <w:rPr>
                <w:sz w:val="24"/>
                <w:szCs w:val="24"/>
              </w:rPr>
              <w:t>Excelled at translating TPC’s vision and philosophy into practical terms for employees. He championed the Good Management Model and taught quantum leadership concepts in a relatable way. He also recognized staff achievements and encouraged open dialogue. Result: high engagement in new initiatives (e.g. strong participation in 360 reviews and leadership programs) and a reputation as an accessible, motivating leader.</w:t>
            </w:r>
          </w:p>
        </w:tc>
      </w:tr>
      <w:tr w:rsidR="00AF6232" w:rsidRPr="00AF6232" w14:paraId="6E84CFD0" w14:textId="77777777">
        <w:trPr>
          <w:tblCellSpacing w:w="15" w:type="dxa"/>
        </w:trPr>
        <w:tc>
          <w:tcPr>
            <w:tcW w:w="0" w:type="auto"/>
            <w:vAlign w:val="center"/>
            <w:hideMark/>
          </w:tcPr>
          <w:p w14:paraId="4B559504" w14:textId="77777777" w:rsidR="00AF6232" w:rsidRPr="00AF6232" w:rsidRDefault="00AF6232" w:rsidP="00AF6232">
            <w:pPr>
              <w:rPr>
                <w:sz w:val="24"/>
                <w:szCs w:val="24"/>
              </w:rPr>
            </w:pPr>
            <w:r w:rsidRPr="00AF6232">
              <w:rPr>
                <w:b/>
                <w:bCs/>
                <w:sz w:val="24"/>
                <w:szCs w:val="24"/>
              </w:rPr>
              <w:t>Resilience &amp; Adaptability</w:t>
            </w:r>
          </w:p>
        </w:tc>
        <w:tc>
          <w:tcPr>
            <w:tcW w:w="0" w:type="auto"/>
            <w:vAlign w:val="center"/>
            <w:hideMark/>
          </w:tcPr>
          <w:p w14:paraId="2D429618" w14:textId="77777777" w:rsidR="00AF6232" w:rsidRPr="00AF6232" w:rsidRDefault="00AF6232" w:rsidP="00AF6232">
            <w:pPr>
              <w:rPr>
                <w:sz w:val="24"/>
                <w:szCs w:val="24"/>
              </w:rPr>
            </w:pPr>
            <w:r w:rsidRPr="00AF6232">
              <w:rPr>
                <w:sz w:val="24"/>
                <w:szCs w:val="24"/>
              </w:rPr>
              <w:t>Demonstrated persistence amid challenges – rebuilding his Octave team after turnover, and still delivering critical projects on time. Adapted quickly to last-minute changes, such as re-scoping workshops and covering unexpected tasks. His “constant drive” and quick execution on tasks (launching 360 in weeks, etc.) kept transformation on schedule. This agility was noted by colleagues and acknowledged by management.</w:t>
            </w:r>
          </w:p>
        </w:tc>
      </w:tr>
    </w:tbl>
    <w:p w14:paraId="78254822" w14:textId="77777777" w:rsidR="00AF6232" w:rsidRPr="00AF6232" w:rsidRDefault="00AF6232" w:rsidP="00AF6232">
      <w:pPr>
        <w:spacing w:line="300" w:lineRule="atLeast"/>
        <w:rPr>
          <w:rFonts w:ascii="Segoe UI" w:hAnsi="Segoe UI" w:cs="Segoe UI"/>
          <w:vanish/>
          <w:sz w:val="21"/>
          <w:szCs w:val="21"/>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69"/>
        <w:gridCol w:w="6757"/>
      </w:tblGrid>
      <w:tr w:rsidR="00AF6232" w:rsidRPr="00AF6232" w14:paraId="36BFE1F4" w14:textId="77777777">
        <w:trPr>
          <w:tblHeader/>
          <w:tblCellSpacing w:w="15" w:type="dxa"/>
        </w:trPr>
        <w:tc>
          <w:tcPr>
            <w:tcW w:w="0" w:type="auto"/>
            <w:vAlign w:val="center"/>
            <w:hideMark/>
          </w:tcPr>
          <w:p w14:paraId="494D3E02" w14:textId="77777777" w:rsidR="00AF6232" w:rsidRPr="00AF6232" w:rsidRDefault="00AF6232" w:rsidP="00AF6232">
            <w:pPr>
              <w:jc w:val="center"/>
              <w:rPr>
                <w:b/>
                <w:bCs/>
                <w:sz w:val="24"/>
                <w:szCs w:val="24"/>
              </w:rPr>
            </w:pPr>
            <w:r w:rsidRPr="00AF6232">
              <w:rPr>
                <w:b/>
                <w:bCs/>
                <w:sz w:val="24"/>
                <w:szCs w:val="24"/>
              </w:rPr>
              <w:t>Development Areas</w:t>
            </w:r>
          </w:p>
        </w:tc>
        <w:tc>
          <w:tcPr>
            <w:tcW w:w="0" w:type="auto"/>
            <w:vAlign w:val="center"/>
            <w:hideMark/>
          </w:tcPr>
          <w:p w14:paraId="33509DBB" w14:textId="77777777" w:rsidR="00AF6232" w:rsidRPr="00AF6232" w:rsidRDefault="00AF6232" w:rsidP="00AF6232">
            <w:pPr>
              <w:jc w:val="center"/>
              <w:rPr>
                <w:b/>
                <w:bCs/>
                <w:sz w:val="24"/>
                <w:szCs w:val="24"/>
              </w:rPr>
            </w:pPr>
            <w:r w:rsidRPr="00AF6232">
              <w:rPr>
                <w:b/>
                <w:bCs/>
                <w:sz w:val="24"/>
                <w:szCs w:val="24"/>
              </w:rPr>
              <w:t>Observations &amp; Improvement Actions</w:t>
            </w:r>
          </w:p>
        </w:tc>
      </w:tr>
      <w:tr w:rsidR="00AF6232" w:rsidRPr="00AF6232" w14:paraId="4CD8F52A" w14:textId="77777777">
        <w:trPr>
          <w:tblCellSpacing w:w="15" w:type="dxa"/>
        </w:trPr>
        <w:tc>
          <w:tcPr>
            <w:tcW w:w="0" w:type="auto"/>
            <w:vAlign w:val="center"/>
            <w:hideMark/>
          </w:tcPr>
          <w:p w14:paraId="7A4C315E" w14:textId="77777777" w:rsidR="00AF6232" w:rsidRPr="00AF6232" w:rsidRDefault="00AF6232" w:rsidP="00AF6232">
            <w:pPr>
              <w:rPr>
                <w:sz w:val="24"/>
                <w:szCs w:val="24"/>
              </w:rPr>
            </w:pPr>
            <w:r w:rsidRPr="00AF6232">
              <w:rPr>
                <w:b/>
                <w:bCs/>
                <w:sz w:val="24"/>
                <w:szCs w:val="24"/>
              </w:rPr>
              <w:t>Team Integration &amp; Delegation</w:t>
            </w:r>
          </w:p>
        </w:tc>
        <w:tc>
          <w:tcPr>
            <w:tcW w:w="0" w:type="auto"/>
            <w:vAlign w:val="center"/>
            <w:hideMark/>
          </w:tcPr>
          <w:p w14:paraId="580EDA49" w14:textId="77777777" w:rsidR="00AF6232" w:rsidRPr="00AF6232" w:rsidRDefault="00AF6232" w:rsidP="00AF6232">
            <w:pPr>
              <w:rPr>
                <w:sz w:val="24"/>
                <w:szCs w:val="24"/>
              </w:rPr>
            </w:pPr>
            <w:r w:rsidRPr="00AF6232">
              <w:rPr>
                <w:sz w:val="24"/>
                <w:szCs w:val="24"/>
              </w:rPr>
              <w:t>Feedback indicated silos within his team and a need for better cross-functional coordination. At times Employee A managed sub-teams separately rather than as one unit. To improve, he has set up weekly team huddles for information sharing and is working on connecting tasks across functions. Empowering deputies (e.g. expanding Joanne’s role) is another step he’s taking to foster unity and relieve himself from micromanaging. Expected outcome: a more cohesive Octave Institute, where everyone is aligned on goals and collaboration is seamless.</w:t>
            </w:r>
          </w:p>
        </w:tc>
      </w:tr>
      <w:tr w:rsidR="00AF6232" w:rsidRPr="00AF6232" w14:paraId="6EC7F5EE" w14:textId="77777777">
        <w:trPr>
          <w:tblCellSpacing w:w="15" w:type="dxa"/>
        </w:trPr>
        <w:tc>
          <w:tcPr>
            <w:tcW w:w="0" w:type="auto"/>
            <w:vAlign w:val="center"/>
            <w:hideMark/>
          </w:tcPr>
          <w:p w14:paraId="3A423382" w14:textId="77777777" w:rsidR="00AF6232" w:rsidRPr="00AF6232" w:rsidRDefault="00AF6232" w:rsidP="00AF6232">
            <w:pPr>
              <w:rPr>
                <w:sz w:val="24"/>
                <w:szCs w:val="24"/>
              </w:rPr>
            </w:pPr>
            <w:r w:rsidRPr="00AF6232">
              <w:rPr>
                <w:b/>
                <w:bCs/>
                <w:sz w:val="24"/>
                <w:szCs w:val="24"/>
              </w:rPr>
              <w:t>Communication Style with “Alpha” Colleagues</w:t>
            </w:r>
          </w:p>
        </w:tc>
        <w:tc>
          <w:tcPr>
            <w:tcW w:w="0" w:type="auto"/>
            <w:vAlign w:val="center"/>
            <w:hideMark/>
          </w:tcPr>
          <w:p w14:paraId="18BEE79B" w14:textId="77777777" w:rsidR="00AF6232" w:rsidRPr="00AF6232" w:rsidRDefault="00AF6232" w:rsidP="00AF6232">
            <w:pPr>
              <w:rPr>
                <w:sz w:val="24"/>
                <w:szCs w:val="24"/>
              </w:rPr>
            </w:pPr>
            <w:r w:rsidRPr="00AF6232">
              <w:rPr>
                <w:sz w:val="24"/>
                <w:szCs w:val="24"/>
              </w:rPr>
              <w:t>Strong-willed peers (e.g. Sherin, Subi) desired faster, more to-the-point responses from Employee A. His thoughtful, context-rich style sometimes came across as slow or indecisive to them. Employee A is now conscious of this perception. He plans to adjust by providing succinct answers and clear decisions upfront in time-sensitive discussions, and saving in-depth context for later. By tailoring his approach, he aims to better satisfy colleagues’ needs for urgency without sacrificing thoroughness. This should improve his perceived responsiveness and ease any friction in high-pressure collaborations.</w:t>
            </w:r>
          </w:p>
        </w:tc>
      </w:tr>
      <w:tr w:rsidR="00AF6232" w:rsidRPr="00AF6232" w14:paraId="3E153E46" w14:textId="77777777">
        <w:trPr>
          <w:tblCellSpacing w:w="15" w:type="dxa"/>
        </w:trPr>
        <w:tc>
          <w:tcPr>
            <w:tcW w:w="0" w:type="auto"/>
            <w:vAlign w:val="center"/>
            <w:hideMark/>
          </w:tcPr>
          <w:p w14:paraId="08329663" w14:textId="77777777" w:rsidR="00AF6232" w:rsidRPr="00AF6232" w:rsidRDefault="00AF6232" w:rsidP="00AF6232">
            <w:pPr>
              <w:rPr>
                <w:sz w:val="24"/>
                <w:szCs w:val="24"/>
              </w:rPr>
            </w:pPr>
            <w:r w:rsidRPr="00AF6232">
              <w:rPr>
                <w:b/>
                <w:bCs/>
                <w:sz w:val="24"/>
                <w:szCs w:val="24"/>
              </w:rPr>
              <w:t>Managing Workload &amp; Focus</w:t>
            </w:r>
          </w:p>
        </w:tc>
        <w:tc>
          <w:tcPr>
            <w:tcW w:w="0" w:type="auto"/>
            <w:vAlign w:val="center"/>
            <w:hideMark/>
          </w:tcPr>
          <w:p w14:paraId="17C00F3C" w14:textId="77777777" w:rsidR="00AF6232" w:rsidRPr="00AF6232" w:rsidRDefault="00AF6232" w:rsidP="00AF6232">
            <w:pPr>
              <w:rPr>
                <w:sz w:val="24"/>
                <w:szCs w:val="24"/>
              </w:rPr>
            </w:pPr>
            <w:r w:rsidRPr="00AF6232">
              <w:rPr>
                <w:sz w:val="24"/>
                <w:szCs w:val="24"/>
              </w:rPr>
              <w:t>(Implicit) Employee A juggled many priorities in 2025, which occasionally strained his bandwidth. While not a direct criticism, it was noted that being “on top of” every detail was challenging. To develop here, Employee A is learning to prioritize and say “no” when necessary. The ongoing role restructuring will narrow his scope to high-impact areas (AI transformation, STP), which will help. Personally, he’s committed to refining his focus on what drives the most value. The benefit will be deeper impact in each area he leads and reduced risk of oversight or burnout.</w:t>
            </w:r>
          </w:p>
        </w:tc>
      </w:tr>
    </w:tbl>
    <w:p w14:paraId="5002D63A"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i/>
          <w:iCs/>
          <w:sz w:val="21"/>
          <w:szCs w:val="21"/>
        </w:rPr>
        <w:t>(Table: Summary of Employee A’s 2025 Strengths and Development Areas, with examples.)</w:t>
      </w:r>
    </w:p>
    <w:p w14:paraId="17E13DE6" w14:textId="77777777" w:rsidR="00AF6232" w:rsidRPr="00AF6232" w:rsidRDefault="00AF6232" w:rsidP="00AF6232">
      <w:pPr>
        <w:spacing w:before="100" w:beforeAutospacing="1" w:after="100" w:afterAutospacing="1" w:line="300" w:lineRule="atLeast"/>
        <w:outlineLvl w:val="1"/>
        <w:rPr>
          <w:rFonts w:ascii="Segoe UI" w:hAnsi="Segoe UI" w:cs="Segoe UI"/>
          <w:b/>
          <w:bCs/>
          <w:sz w:val="36"/>
          <w:szCs w:val="36"/>
        </w:rPr>
      </w:pPr>
      <w:r w:rsidRPr="00AF6232">
        <w:rPr>
          <w:rFonts w:ascii="Segoe UI" w:hAnsi="Segoe UI" w:cs="Segoe UI"/>
          <w:b/>
          <w:bCs/>
          <w:sz w:val="36"/>
          <w:szCs w:val="36"/>
        </w:rPr>
        <w:t>Final Summary</w:t>
      </w:r>
    </w:p>
    <w:p w14:paraId="37105754"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Overall, </w:t>
      </w:r>
      <w:r w:rsidRPr="00AF6232">
        <w:rPr>
          <w:rFonts w:ascii="Segoe UI" w:hAnsi="Segoe UI" w:cs="Segoe UI"/>
          <w:b/>
          <w:bCs/>
          <w:sz w:val="21"/>
          <w:szCs w:val="21"/>
        </w:rPr>
        <w:t>Employee A had a highly impactful year in 2025</w:t>
      </w:r>
      <w:r w:rsidRPr="00AF6232">
        <w:rPr>
          <w:rFonts w:ascii="Segoe UI" w:hAnsi="Segoe UI" w:cs="Segoe UI"/>
          <w:sz w:val="21"/>
          <w:szCs w:val="21"/>
        </w:rPr>
        <w:t xml:space="preserve">, driving forward TPC’s transformation and exemplifying many qualities of a strong enterprise leader. He delivered notable achievements – from advancing our AI and digital capabilities to cultivating a new generation of leaders and kick-starting a major social impact venture. His performance showed a clear commitment to TPC’s vision and an ability to turn ambitious ideas into reality, even under challenging conditions. In his October 22 </w:t>
      </w:r>
      <w:proofErr w:type="spellStart"/>
      <w:r w:rsidRPr="00AF6232">
        <w:rPr>
          <w:rFonts w:ascii="Segoe UI" w:hAnsi="Segoe UI" w:cs="Segoe UI"/>
          <w:sz w:val="21"/>
          <w:szCs w:val="21"/>
        </w:rPr>
        <w:t>ePCG</w:t>
      </w:r>
      <w:proofErr w:type="spellEnd"/>
      <w:r w:rsidRPr="00AF6232">
        <w:rPr>
          <w:rFonts w:ascii="Segoe UI" w:hAnsi="Segoe UI" w:cs="Segoe UI"/>
          <w:sz w:val="21"/>
          <w:szCs w:val="21"/>
        </w:rPr>
        <w:t xml:space="preserve"> review, Loh Niap Juan, TPC’s Group CCO, recognized Employee A’s contributions, stating that Employee A had </w:t>
      </w:r>
      <w:r w:rsidRPr="00AF6232">
        <w:rPr>
          <w:rFonts w:ascii="Segoe UI" w:hAnsi="Segoe UI" w:cs="Segoe UI"/>
          <w:i/>
          <w:iCs/>
          <w:sz w:val="21"/>
          <w:szCs w:val="21"/>
        </w:rPr>
        <w:t>“been quite instrumental”</w:t>
      </w:r>
      <w:r w:rsidRPr="00AF6232">
        <w:rPr>
          <w:rFonts w:ascii="Segoe UI" w:hAnsi="Segoe UI" w:cs="Segoe UI"/>
          <w:sz w:val="21"/>
          <w:szCs w:val="21"/>
        </w:rPr>
        <w:t xml:space="preserve"> in areas like AI adoption and had persevered to get critical projects moving</w:t>
      </w:r>
      <w:hyperlink r:id="rId365" w:history="1">
        <w:r w:rsidRPr="00AF6232">
          <w:rPr>
            <w:rFonts w:ascii="Segoe UI" w:hAnsi="Segoe UI" w:cs="Segoe UI"/>
            <w:color w:val="464FEB"/>
            <w:sz w:val="21"/>
            <w:szCs w:val="21"/>
          </w:rPr>
          <w:t>[2]</w:t>
        </w:r>
      </w:hyperlink>
      <w:hyperlink r:id="rId366" w:history="1">
        <w:r w:rsidRPr="00AF6232">
          <w:rPr>
            <w:rFonts w:ascii="Segoe UI" w:hAnsi="Segoe UI" w:cs="Segoe UI"/>
            <w:color w:val="464FEB"/>
            <w:sz w:val="21"/>
            <w:szCs w:val="21"/>
          </w:rPr>
          <w:t>[2]</w:t>
        </w:r>
      </w:hyperlink>
      <w:r w:rsidRPr="00AF6232">
        <w:rPr>
          <w:rFonts w:ascii="Segoe UI" w:hAnsi="Segoe UI" w:cs="Segoe UI"/>
          <w:sz w:val="21"/>
          <w:szCs w:val="21"/>
        </w:rPr>
        <w:t>.</w:t>
      </w:r>
    </w:p>
    <w:p w14:paraId="08F302E4"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Employee A’s </w:t>
      </w:r>
      <w:r w:rsidRPr="00AF6232">
        <w:rPr>
          <w:rFonts w:ascii="Segoe UI" w:hAnsi="Segoe UI" w:cs="Segoe UI"/>
          <w:b/>
          <w:bCs/>
          <w:sz w:val="21"/>
          <w:szCs w:val="21"/>
        </w:rPr>
        <w:t>leadership strengths</w:t>
      </w:r>
      <w:r w:rsidRPr="00AF6232">
        <w:rPr>
          <w:rFonts w:ascii="Segoe UI" w:hAnsi="Segoe UI" w:cs="Segoe UI"/>
          <w:sz w:val="21"/>
          <w:szCs w:val="21"/>
        </w:rPr>
        <w:t xml:space="preserve"> were evident throughout the year. He proved adept at bridging big-picture vision with on-the-ground action – engaging stakeholders at all levels and communicating in a way that made TPC’s purpose tangible for employees</w:t>
      </w:r>
      <w:hyperlink r:id="rId367" w:history="1">
        <w:r w:rsidRPr="00AF6232">
          <w:rPr>
            <w:rFonts w:ascii="Segoe UI" w:hAnsi="Segoe UI" w:cs="Segoe UI"/>
            <w:color w:val="464FEB"/>
            <w:sz w:val="21"/>
            <w:szCs w:val="21"/>
          </w:rPr>
          <w:t>[2]</w:t>
        </w:r>
      </w:hyperlink>
      <w:r w:rsidRPr="00AF6232">
        <w:rPr>
          <w:rFonts w:ascii="Segoe UI" w:hAnsi="Segoe UI" w:cs="Segoe UI"/>
          <w:sz w:val="21"/>
          <w:szCs w:val="21"/>
        </w:rPr>
        <w:t>. He also demonstrated resilience; when faced with resource gaps or resistance, he found creative solutions and kept pushing forward. These strengths made him a linchpin in executing TPC’s strategy in 2025, and they have earned him respect across the organization.</w:t>
      </w:r>
    </w:p>
    <w:p w14:paraId="6DC2A257"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At the same time, the performance feedback process surfaced </w:t>
      </w:r>
      <w:r w:rsidRPr="00AF6232">
        <w:rPr>
          <w:rFonts w:ascii="Segoe UI" w:hAnsi="Segoe UI" w:cs="Segoe UI"/>
          <w:b/>
          <w:bCs/>
          <w:sz w:val="21"/>
          <w:szCs w:val="21"/>
        </w:rPr>
        <w:t>areas where Employee A can elevate his leadership effectiveness</w:t>
      </w:r>
      <w:r w:rsidRPr="00AF6232">
        <w:rPr>
          <w:rFonts w:ascii="Segoe UI" w:hAnsi="Segoe UI" w:cs="Segoe UI"/>
          <w:sz w:val="21"/>
          <w:szCs w:val="21"/>
        </w:rPr>
        <w:t xml:space="preserve">. In particular, he can focus on </w:t>
      </w:r>
      <w:r w:rsidRPr="00AF6232">
        <w:rPr>
          <w:rFonts w:ascii="Segoe UI" w:hAnsi="Segoe UI" w:cs="Segoe UI"/>
          <w:b/>
          <w:bCs/>
          <w:sz w:val="21"/>
          <w:szCs w:val="21"/>
        </w:rPr>
        <w:t>integrating and coordinating his team more tightly</w:t>
      </w:r>
      <w:r w:rsidRPr="00AF6232">
        <w:rPr>
          <w:rFonts w:ascii="Segoe UI" w:hAnsi="Segoe UI" w:cs="Segoe UI"/>
          <w:sz w:val="21"/>
          <w:szCs w:val="21"/>
        </w:rPr>
        <w:t>, ensuring that everyone he leads is moving in unison rather than in parallel tracks</w:t>
      </w:r>
      <w:hyperlink r:id="rId368" w:history="1">
        <w:r w:rsidRPr="00AF6232">
          <w:rPr>
            <w:rFonts w:ascii="Segoe UI" w:hAnsi="Segoe UI" w:cs="Segoe UI"/>
            <w:color w:val="464FEB"/>
            <w:sz w:val="21"/>
            <w:szCs w:val="21"/>
          </w:rPr>
          <w:t>[1]</w:t>
        </w:r>
      </w:hyperlink>
      <w:r w:rsidRPr="00AF6232">
        <w:rPr>
          <w:rFonts w:ascii="Segoe UI" w:hAnsi="Segoe UI" w:cs="Segoe UI"/>
          <w:sz w:val="21"/>
          <w:szCs w:val="21"/>
        </w:rPr>
        <w:t xml:space="preserve">. Additionally, by </w:t>
      </w:r>
      <w:r w:rsidRPr="00AF6232">
        <w:rPr>
          <w:rFonts w:ascii="Segoe UI" w:hAnsi="Segoe UI" w:cs="Segoe UI"/>
          <w:b/>
          <w:bCs/>
          <w:sz w:val="21"/>
          <w:szCs w:val="21"/>
        </w:rPr>
        <w:t>adapting his communication style in certain high-stakes interactions</w:t>
      </w:r>
      <w:r w:rsidRPr="00AF6232">
        <w:rPr>
          <w:rFonts w:ascii="Segoe UI" w:hAnsi="Segoe UI" w:cs="Segoe UI"/>
          <w:sz w:val="21"/>
          <w:szCs w:val="21"/>
        </w:rPr>
        <w:t xml:space="preserve"> – offering more brevity or decisiveness when dealing with results-driven colleagues – he can avoid misunderstandings and accelerate collaboration</w:t>
      </w:r>
      <w:hyperlink r:id="rId369" w:history="1">
        <w:r w:rsidRPr="00AF6232">
          <w:rPr>
            <w:rFonts w:ascii="Segoe UI" w:hAnsi="Segoe UI" w:cs="Segoe UI"/>
            <w:color w:val="464FEB"/>
            <w:sz w:val="21"/>
            <w:szCs w:val="21"/>
          </w:rPr>
          <w:t>[2]</w:t>
        </w:r>
      </w:hyperlink>
      <w:hyperlink r:id="rId370" w:history="1">
        <w:r w:rsidRPr="00AF6232">
          <w:rPr>
            <w:rFonts w:ascii="Segoe UI" w:hAnsi="Segoe UI" w:cs="Segoe UI"/>
            <w:color w:val="464FEB"/>
            <w:sz w:val="21"/>
            <w:szCs w:val="21"/>
          </w:rPr>
          <w:t>[1]</w:t>
        </w:r>
      </w:hyperlink>
      <w:r w:rsidRPr="00AF6232">
        <w:rPr>
          <w:rFonts w:ascii="Segoe UI" w:hAnsi="Segoe UI" w:cs="Segoe UI"/>
          <w:sz w:val="21"/>
          <w:szCs w:val="21"/>
        </w:rPr>
        <w:t xml:space="preserve">. Employee A has taken this feedback positively. In the </w:t>
      </w:r>
      <w:proofErr w:type="spellStart"/>
      <w:r w:rsidRPr="00AF6232">
        <w:rPr>
          <w:rFonts w:ascii="Segoe UI" w:hAnsi="Segoe UI" w:cs="Segoe UI"/>
          <w:sz w:val="21"/>
          <w:szCs w:val="21"/>
        </w:rPr>
        <w:t>ePCG</w:t>
      </w:r>
      <w:proofErr w:type="spellEnd"/>
      <w:r w:rsidRPr="00AF6232">
        <w:rPr>
          <w:rFonts w:ascii="Segoe UI" w:hAnsi="Segoe UI" w:cs="Segoe UI"/>
          <w:sz w:val="21"/>
          <w:szCs w:val="21"/>
        </w:rPr>
        <w:t xml:space="preserve"> discussion, he acknowledged these growth areas, affirming that if his management style needs adjustment, he is willing to work on it</w:t>
      </w:r>
      <w:hyperlink r:id="rId371" w:history="1">
        <w:r w:rsidRPr="00AF6232">
          <w:rPr>
            <w:rFonts w:ascii="Segoe UI" w:hAnsi="Segoe UI" w:cs="Segoe UI"/>
            <w:color w:val="464FEB"/>
            <w:sz w:val="21"/>
            <w:szCs w:val="21"/>
          </w:rPr>
          <w:t>[2]</w:t>
        </w:r>
      </w:hyperlink>
      <w:hyperlink r:id="rId372" w:history="1">
        <w:r w:rsidRPr="00AF6232">
          <w:rPr>
            <w:rFonts w:ascii="Segoe UI" w:hAnsi="Segoe UI" w:cs="Segoe UI"/>
            <w:color w:val="464FEB"/>
            <w:sz w:val="21"/>
            <w:szCs w:val="21"/>
          </w:rPr>
          <w:t>[2]</w:t>
        </w:r>
      </w:hyperlink>
      <w:r w:rsidRPr="00AF6232">
        <w:rPr>
          <w:rFonts w:ascii="Segoe UI" w:hAnsi="Segoe UI" w:cs="Segoe UI"/>
          <w:sz w:val="21"/>
          <w:szCs w:val="21"/>
        </w:rPr>
        <w:t>. He also outlined steps he’s already implemented (like weekly team huddles to break silos) and provided examples that he can respond at pace when required (rolling out major programs in weeks)</w:t>
      </w:r>
      <w:hyperlink r:id="rId373" w:history="1">
        <w:r w:rsidRPr="00AF6232">
          <w:rPr>
            <w:rFonts w:ascii="Segoe UI" w:hAnsi="Segoe UI" w:cs="Segoe UI"/>
            <w:color w:val="464FEB"/>
            <w:sz w:val="21"/>
            <w:szCs w:val="21"/>
          </w:rPr>
          <w:t>[2]</w:t>
        </w:r>
      </w:hyperlink>
      <w:hyperlink r:id="rId374" w:history="1">
        <w:r w:rsidRPr="00AF6232">
          <w:rPr>
            <w:rFonts w:ascii="Segoe UI" w:hAnsi="Segoe UI" w:cs="Segoe UI"/>
            <w:color w:val="464FEB"/>
            <w:sz w:val="21"/>
            <w:szCs w:val="21"/>
          </w:rPr>
          <w:t>[2]</w:t>
        </w:r>
      </w:hyperlink>
      <w:r w:rsidRPr="00AF6232">
        <w:rPr>
          <w:rFonts w:ascii="Segoe UI" w:hAnsi="Segoe UI" w:cs="Segoe UI"/>
          <w:sz w:val="21"/>
          <w:szCs w:val="21"/>
        </w:rPr>
        <w:t>. This response reflects Employee A’s self-awareness and dedication to continuous improvement.</w:t>
      </w:r>
    </w:p>
    <w:p w14:paraId="5EDAE8AD" w14:textId="77777777" w:rsidR="00AF6232" w:rsidRPr="00AF6232" w:rsidRDefault="00AF6232" w:rsidP="00AF6232">
      <w:pPr>
        <w:spacing w:before="100" w:beforeAutospacing="1" w:after="100" w:afterAutospacing="1" w:line="300" w:lineRule="atLeast"/>
        <w:rPr>
          <w:rFonts w:ascii="Segoe UI" w:hAnsi="Segoe UI" w:cs="Segoe UI"/>
          <w:sz w:val="21"/>
          <w:szCs w:val="21"/>
        </w:rPr>
      </w:pPr>
      <w:r w:rsidRPr="00AF6232">
        <w:rPr>
          <w:rFonts w:ascii="Segoe UI" w:hAnsi="Segoe UI" w:cs="Segoe UI"/>
          <w:sz w:val="21"/>
          <w:szCs w:val="21"/>
        </w:rPr>
        <w:t xml:space="preserve">In conclusion, Employee A’s 2025 performance can be characterized as </w:t>
      </w:r>
      <w:r w:rsidRPr="00AF6232">
        <w:rPr>
          <w:rFonts w:ascii="Segoe UI" w:hAnsi="Segoe UI" w:cs="Segoe UI"/>
          <w:b/>
          <w:bCs/>
          <w:sz w:val="21"/>
          <w:szCs w:val="21"/>
        </w:rPr>
        <w:t>highly impactful with a trajectory for further growth</w:t>
      </w:r>
      <w:r w:rsidRPr="00AF6232">
        <w:rPr>
          <w:rFonts w:ascii="Segoe UI" w:hAnsi="Segoe UI" w:cs="Segoe UI"/>
          <w:sz w:val="21"/>
          <w:szCs w:val="21"/>
        </w:rPr>
        <w:t xml:space="preserve">. He made outsized contributions to TPC’s transformation – effectively becoming a driving force behind our digital, cultural, and social innovation </w:t>
      </w:r>
      <w:proofErr w:type="spellStart"/>
      <w:r w:rsidRPr="00AF6232">
        <w:rPr>
          <w:rFonts w:ascii="Segoe UI" w:hAnsi="Segoe UI" w:cs="Segoe UI"/>
          <w:sz w:val="21"/>
          <w:szCs w:val="21"/>
        </w:rPr>
        <w:t>endeavors</w:t>
      </w:r>
      <w:proofErr w:type="spellEnd"/>
      <w:r w:rsidRPr="00AF6232">
        <w:rPr>
          <w:rFonts w:ascii="Segoe UI" w:hAnsi="Segoe UI" w:cs="Segoe UI"/>
          <w:sz w:val="21"/>
          <w:szCs w:val="21"/>
        </w:rPr>
        <w:t>. His manager, Niap Juan, summarized it well by praising Employee A’s strengths in driving change and engaging people, while also candidly pointing out the few areas to sharpen</w:t>
      </w:r>
      <w:hyperlink r:id="rId375" w:history="1">
        <w:r w:rsidRPr="00AF6232">
          <w:rPr>
            <w:rFonts w:ascii="Segoe UI" w:hAnsi="Segoe UI" w:cs="Segoe UI"/>
            <w:color w:val="464FEB"/>
            <w:sz w:val="21"/>
            <w:szCs w:val="21"/>
          </w:rPr>
          <w:t>[1]</w:t>
        </w:r>
      </w:hyperlink>
      <w:hyperlink r:id="rId376" w:history="1">
        <w:r w:rsidRPr="00AF6232">
          <w:rPr>
            <w:rFonts w:ascii="Segoe UI" w:hAnsi="Segoe UI" w:cs="Segoe UI"/>
            <w:color w:val="464FEB"/>
            <w:sz w:val="21"/>
            <w:szCs w:val="21"/>
          </w:rPr>
          <w:t>[1]</w:t>
        </w:r>
      </w:hyperlink>
      <w:r w:rsidRPr="00AF6232">
        <w:rPr>
          <w:rFonts w:ascii="Segoe UI" w:hAnsi="Segoe UI" w:cs="Segoe UI"/>
          <w:sz w:val="21"/>
          <w:szCs w:val="21"/>
        </w:rPr>
        <w:t>. Employee A’s ability to absorb and act on that feedback is a positive sign for the future. With his passion for TPC’s mission, strong strategic acumen, and now a clear development plan (focusing on team synergy and communication calibration), Employee A is positioned to continue adding tremendous value. As he amplifies his strengths and addresses his improvement areas, Employee A will not only enhance his own leadership effectiveness but also help TPC reach new heights in its transformation journey.</w:t>
      </w:r>
    </w:p>
    <w:p w14:paraId="0F1D2578" w14:textId="77777777" w:rsidR="00AF6232" w:rsidRPr="00AF6232" w:rsidRDefault="00AF6232" w:rsidP="00AF6232">
      <w:pPr>
        <w:spacing w:line="300" w:lineRule="atLeast"/>
        <w:rPr>
          <w:rFonts w:ascii="Segoe UI Semibold" w:hAnsi="Segoe UI Semibold" w:cs="Segoe UI Semibold"/>
          <w:b/>
          <w:bCs/>
          <w:sz w:val="18"/>
          <w:szCs w:val="18"/>
        </w:rPr>
      </w:pPr>
      <w:r w:rsidRPr="00AF6232">
        <w:rPr>
          <w:rFonts w:ascii="Segoe UI Semibold" w:hAnsi="Segoe UI Semibold" w:cs="Segoe UI Semibold"/>
          <w:b/>
          <w:bCs/>
          <w:sz w:val="18"/>
          <w:szCs w:val="18"/>
        </w:rPr>
        <w:br/>
        <w:t>References</w:t>
      </w:r>
    </w:p>
    <w:p w14:paraId="6C33204B" w14:textId="77777777" w:rsidR="00AF6232" w:rsidRPr="00AF6232" w:rsidRDefault="00AF6232" w:rsidP="00AF6232">
      <w:pPr>
        <w:spacing w:line="300" w:lineRule="atLeast"/>
        <w:rPr>
          <w:rFonts w:ascii="Segoe UI" w:hAnsi="Segoe UI" w:cs="Segoe UI"/>
          <w:sz w:val="21"/>
          <w:szCs w:val="21"/>
        </w:rPr>
      </w:pPr>
      <w:r w:rsidRPr="00AF6232">
        <w:rPr>
          <w:rFonts w:ascii="Segoe UI" w:hAnsi="Segoe UI" w:cs="Segoe UI"/>
          <w:sz w:val="21"/>
          <w:szCs w:val="21"/>
        </w:rPr>
        <w:t xml:space="preserve">[1] </w:t>
      </w:r>
      <w:hyperlink r:id="rId377" w:history="1">
        <w:r w:rsidRPr="00AF6232">
          <w:rPr>
            <w:rFonts w:ascii="Segoe UI" w:hAnsi="Segoe UI" w:cs="Segoe UI"/>
            <w:color w:val="464FEB"/>
            <w:sz w:val="21"/>
            <w:szCs w:val="21"/>
          </w:rPr>
          <w:t xml:space="preserve">RE: Following up after Kenneth </w:t>
        </w:r>
        <w:proofErr w:type="spellStart"/>
        <w:r w:rsidRPr="00AF6232">
          <w:rPr>
            <w:rFonts w:ascii="Segoe UI" w:hAnsi="Segoe UI" w:cs="Segoe UI"/>
            <w:color w:val="464FEB"/>
            <w:sz w:val="21"/>
            <w:szCs w:val="21"/>
          </w:rPr>
          <w:t>ePCG</w:t>
        </w:r>
        <w:proofErr w:type="spellEnd"/>
      </w:hyperlink>
    </w:p>
    <w:p w14:paraId="006AC3D4" w14:textId="77777777" w:rsidR="00AF6232" w:rsidRPr="00AF6232" w:rsidRDefault="00AF6232" w:rsidP="00AF6232">
      <w:pPr>
        <w:spacing w:line="300" w:lineRule="atLeast"/>
        <w:rPr>
          <w:rFonts w:ascii="Segoe UI" w:hAnsi="Segoe UI" w:cs="Segoe UI"/>
          <w:sz w:val="21"/>
          <w:szCs w:val="21"/>
        </w:rPr>
      </w:pPr>
      <w:r w:rsidRPr="00AF6232">
        <w:rPr>
          <w:rFonts w:ascii="Segoe UI" w:hAnsi="Segoe UI" w:cs="Segoe UI"/>
          <w:sz w:val="21"/>
          <w:szCs w:val="21"/>
        </w:rPr>
        <w:t xml:space="preserve">[2] </w:t>
      </w:r>
      <w:hyperlink r:id="rId378" w:history="1">
        <w:r w:rsidRPr="00AF6232">
          <w:rPr>
            <w:rFonts w:ascii="Segoe UI" w:hAnsi="Segoe UI" w:cs="Segoe UI"/>
            <w:color w:val="464FEB"/>
            <w:sz w:val="21"/>
            <w:szCs w:val="21"/>
          </w:rPr>
          <w:t xml:space="preserve">Kenneth </w:t>
        </w:r>
        <w:proofErr w:type="spellStart"/>
        <w:r w:rsidRPr="00AF6232">
          <w:rPr>
            <w:rFonts w:ascii="Segoe UI" w:hAnsi="Segoe UI" w:cs="Segoe UI"/>
            <w:color w:val="464FEB"/>
            <w:sz w:val="21"/>
            <w:szCs w:val="21"/>
          </w:rPr>
          <w:t>ePCG</w:t>
        </w:r>
        <w:proofErr w:type="spellEnd"/>
      </w:hyperlink>
    </w:p>
    <w:p w14:paraId="071CD090" w14:textId="77777777" w:rsidR="009C6AB5" w:rsidRPr="009C6AB5" w:rsidRDefault="009C6AB5" w:rsidP="009C6AB5">
      <w:p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Here’s a clear summary of Employee A’s strengths and areas for improvement based on his 2025 performance:</w:t>
      </w:r>
    </w:p>
    <w:p w14:paraId="7779D1B7" w14:textId="77777777" w:rsidR="009C6AB5" w:rsidRPr="009C6AB5" w:rsidRDefault="00977BB2" w:rsidP="009C6AB5">
      <w:pPr>
        <w:spacing w:line="300" w:lineRule="atLeast"/>
        <w:rPr>
          <w:rFonts w:ascii="Segoe UI" w:hAnsi="Segoe UI" w:cs="Segoe UI"/>
          <w:sz w:val="21"/>
          <w:szCs w:val="21"/>
        </w:rPr>
      </w:pPr>
      <w:r>
        <w:rPr>
          <w:rFonts w:ascii="Segoe UI" w:hAnsi="Segoe UI" w:cs="Segoe UI"/>
          <w:sz w:val="21"/>
          <w:szCs w:val="21"/>
        </w:rPr>
        <w:pict w14:anchorId="1EA29AD2">
          <v:rect id="_x0000_i1043" style="width:0;height:1.5pt" o:hralign="center" o:hrstd="t" o:hr="t" fillcolor="#a0a0a0" stroked="f"/>
        </w:pict>
      </w:r>
    </w:p>
    <w:p w14:paraId="176F5C88" w14:textId="77777777" w:rsidR="009C6AB5" w:rsidRPr="009C6AB5" w:rsidRDefault="009C6AB5" w:rsidP="009C6AB5">
      <w:pPr>
        <w:spacing w:before="100" w:beforeAutospacing="1" w:after="100" w:afterAutospacing="1" w:line="300" w:lineRule="atLeast"/>
        <w:outlineLvl w:val="2"/>
        <w:rPr>
          <w:rFonts w:ascii="Segoe UI" w:hAnsi="Segoe UI" w:cs="Segoe UI"/>
          <w:b/>
          <w:bCs/>
          <w:sz w:val="27"/>
          <w:szCs w:val="27"/>
        </w:rPr>
      </w:pPr>
      <w:r w:rsidRPr="009C6AB5">
        <w:rPr>
          <w:rFonts w:ascii="Segoe UI Emoji" w:hAnsi="Segoe UI Emoji" w:cs="Segoe UI Emoji"/>
          <w:b/>
          <w:bCs/>
          <w:sz w:val="27"/>
          <w:szCs w:val="27"/>
        </w:rPr>
        <w:t>✅</w:t>
      </w:r>
      <w:r w:rsidRPr="009C6AB5">
        <w:rPr>
          <w:rFonts w:ascii="Segoe UI" w:hAnsi="Segoe UI" w:cs="Segoe UI"/>
          <w:b/>
          <w:bCs/>
          <w:sz w:val="27"/>
          <w:szCs w:val="27"/>
        </w:rPr>
        <w:t xml:space="preserve"> Strengths</w:t>
      </w:r>
    </w:p>
    <w:p w14:paraId="263D9B69" w14:textId="77777777" w:rsidR="009C6AB5" w:rsidRPr="009C6AB5" w:rsidRDefault="009C6AB5" w:rsidP="009C6AB5">
      <w:pPr>
        <w:numPr>
          <w:ilvl w:val="0"/>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Driving Innovation &amp; Transformation</w:t>
      </w:r>
    </w:p>
    <w:p w14:paraId="247FC1FE"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Led AI-based performance systems and digitized 24 workflows.</w:t>
      </w:r>
    </w:p>
    <w:p w14:paraId="5442059D"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Instrumental in shifting TPC’s mindset toward data and AI.</w:t>
      </w:r>
    </w:p>
    <w:p w14:paraId="03DE37CC" w14:textId="77777777" w:rsidR="009C6AB5" w:rsidRPr="009C6AB5" w:rsidRDefault="009C6AB5" w:rsidP="009C6AB5">
      <w:pPr>
        <w:numPr>
          <w:ilvl w:val="0"/>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External-Internal Bridging</w:t>
      </w:r>
    </w:p>
    <w:p w14:paraId="7F0F45D4"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Built partnerships with NUS, government, and external coaches.</w:t>
      </w:r>
    </w:p>
    <w:p w14:paraId="07F6C31D"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Successfully launched the Social Transformation Project by aligning multiple ministries.</w:t>
      </w:r>
    </w:p>
    <w:p w14:paraId="20A7F4FF" w14:textId="77777777" w:rsidR="009C6AB5" w:rsidRPr="009C6AB5" w:rsidRDefault="009C6AB5" w:rsidP="009C6AB5">
      <w:pPr>
        <w:numPr>
          <w:ilvl w:val="0"/>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Communication &amp; Engagement</w:t>
      </w:r>
    </w:p>
    <w:p w14:paraId="666E9CB9"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Translated complex ideas (e.g. quantum leadership) into accessible language.</w:t>
      </w:r>
    </w:p>
    <w:p w14:paraId="3C7F46FD"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Maintained high employee engagement across leadership programs.</w:t>
      </w:r>
    </w:p>
    <w:p w14:paraId="79D33352" w14:textId="77777777" w:rsidR="009C6AB5" w:rsidRPr="009C6AB5" w:rsidRDefault="009C6AB5" w:rsidP="009C6AB5">
      <w:pPr>
        <w:numPr>
          <w:ilvl w:val="0"/>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Resilience &amp; Adaptability</w:t>
      </w:r>
    </w:p>
    <w:p w14:paraId="3664C1B5"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Delivered key initiatives despite team turnover and resource constraints.</w:t>
      </w:r>
    </w:p>
    <w:p w14:paraId="52680C67"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Responded quickly to urgent requests (e.g. 360 rollout in under a month).</w:t>
      </w:r>
    </w:p>
    <w:p w14:paraId="7CB0A87A" w14:textId="77777777" w:rsidR="009C6AB5" w:rsidRPr="009C6AB5" w:rsidRDefault="009C6AB5" w:rsidP="009C6AB5">
      <w:pPr>
        <w:numPr>
          <w:ilvl w:val="0"/>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Purpose-Driven Leadership</w:t>
      </w:r>
    </w:p>
    <w:p w14:paraId="203C4117" w14:textId="77777777" w:rsidR="009C6AB5" w:rsidRPr="009C6AB5" w:rsidRDefault="009C6AB5" w:rsidP="009C6AB5">
      <w:pPr>
        <w:numPr>
          <w:ilvl w:val="1"/>
          <w:numId w:val="35"/>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Consistently aligned initiatives with TPC’s Well-Being Mandate and Life Flourishing philosophy.</w:t>
      </w:r>
    </w:p>
    <w:p w14:paraId="4299D111" w14:textId="77777777" w:rsidR="009C6AB5" w:rsidRPr="009C6AB5" w:rsidRDefault="00977BB2" w:rsidP="009C6AB5">
      <w:pPr>
        <w:spacing w:line="300" w:lineRule="atLeast"/>
        <w:rPr>
          <w:rFonts w:ascii="Segoe UI" w:hAnsi="Segoe UI" w:cs="Segoe UI"/>
          <w:sz w:val="21"/>
          <w:szCs w:val="21"/>
        </w:rPr>
      </w:pPr>
      <w:r>
        <w:rPr>
          <w:rFonts w:ascii="Segoe UI" w:hAnsi="Segoe UI" w:cs="Segoe UI"/>
          <w:sz w:val="21"/>
          <w:szCs w:val="21"/>
        </w:rPr>
        <w:pict w14:anchorId="5F1A35E4">
          <v:rect id="_x0000_i1044" style="width:0;height:1.5pt" o:hralign="center" o:hrstd="t" o:hr="t" fillcolor="#a0a0a0" stroked="f"/>
        </w:pict>
      </w:r>
    </w:p>
    <w:p w14:paraId="21F65E7B" w14:textId="77777777" w:rsidR="009C6AB5" w:rsidRPr="009C6AB5" w:rsidRDefault="009C6AB5" w:rsidP="009C6AB5">
      <w:pPr>
        <w:spacing w:before="100" w:beforeAutospacing="1" w:after="100" w:afterAutospacing="1" w:line="300" w:lineRule="atLeast"/>
        <w:outlineLvl w:val="2"/>
        <w:rPr>
          <w:rFonts w:ascii="Segoe UI" w:hAnsi="Segoe UI" w:cs="Segoe UI"/>
          <w:b/>
          <w:bCs/>
          <w:sz w:val="27"/>
          <w:szCs w:val="27"/>
        </w:rPr>
      </w:pPr>
      <w:r w:rsidRPr="009C6AB5">
        <w:rPr>
          <w:rFonts w:ascii="Segoe UI Emoji" w:hAnsi="Segoe UI Emoji" w:cs="Segoe UI Emoji"/>
          <w:b/>
          <w:bCs/>
          <w:sz w:val="27"/>
          <w:szCs w:val="27"/>
        </w:rPr>
        <w:t>⚠️</w:t>
      </w:r>
      <w:r w:rsidRPr="009C6AB5">
        <w:rPr>
          <w:rFonts w:ascii="Segoe UI" w:hAnsi="Segoe UI" w:cs="Segoe UI"/>
          <w:b/>
          <w:bCs/>
          <w:sz w:val="27"/>
          <w:szCs w:val="27"/>
        </w:rPr>
        <w:t xml:space="preserve"> Areas for Improvement</w:t>
      </w:r>
    </w:p>
    <w:p w14:paraId="03935E58" w14:textId="77777777" w:rsidR="009C6AB5" w:rsidRPr="009C6AB5" w:rsidRDefault="009C6AB5" w:rsidP="009C6AB5">
      <w:pPr>
        <w:numPr>
          <w:ilvl w:val="0"/>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Team Integration &amp; Delegation</w:t>
      </w:r>
    </w:p>
    <w:p w14:paraId="4796F849"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Needs to improve coordination across Octave’s sub-teams to reduce silos.</w:t>
      </w:r>
    </w:p>
    <w:p w14:paraId="05BFE9B5"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Should delegate more operational tasks to empower team leads and focus on strategic oversight.</w:t>
      </w:r>
    </w:p>
    <w:p w14:paraId="2E75686C" w14:textId="77777777" w:rsidR="009C6AB5" w:rsidRPr="009C6AB5" w:rsidRDefault="009C6AB5" w:rsidP="009C6AB5">
      <w:pPr>
        <w:numPr>
          <w:ilvl w:val="0"/>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Communication Style with Assertive Stakeholders</w:t>
      </w:r>
    </w:p>
    <w:p w14:paraId="6933BC64" w14:textId="5C17EEFA"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Feedback from senior colleagues (e.g. Sherin, S</w:t>
      </w:r>
      <w:r w:rsidR="00272EB2">
        <w:rPr>
          <w:rFonts w:ascii="Segoe UI" w:hAnsi="Segoe UI" w:cs="Segoe UI"/>
          <w:sz w:val="21"/>
          <w:szCs w:val="21"/>
        </w:rPr>
        <w:t>ook Yee</w:t>
      </w:r>
      <w:r w:rsidRPr="009C6AB5">
        <w:rPr>
          <w:rFonts w:ascii="Segoe UI" w:hAnsi="Segoe UI" w:cs="Segoe UI"/>
          <w:sz w:val="21"/>
          <w:szCs w:val="21"/>
        </w:rPr>
        <w:t>) suggests a need for quicker, more direct responses.</w:t>
      </w:r>
    </w:p>
    <w:p w14:paraId="00CF3B46"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Should adapt messaging style to be more concise and decisive when needed.</w:t>
      </w:r>
    </w:p>
    <w:p w14:paraId="292191F8" w14:textId="77777777" w:rsidR="009C6AB5" w:rsidRPr="009C6AB5" w:rsidRDefault="009C6AB5" w:rsidP="009C6AB5">
      <w:pPr>
        <w:numPr>
          <w:ilvl w:val="0"/>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Managing Workload &amp; Prioritization</w:t>
      </w:r>
    </w:p>
    <w:p w14:paraId="07E9B103"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Took on a wide scope of responsibilities; risk of overextension.</w:t>
      </w:r>
    </w:p>
    <w:p w14:paraId="2B387DDF"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Should focus on high-impact areas and streamline efforts to avoid dilution of impact.</w:t>
      </w:r>
    </w:p>
    <w:p w14:paraId="31419191" w14:textId="77777777" w:rsidR="009C6AB5" w:rsidRPr="009C6AB5" w:rsidRDefault="009C6AB5" w:rsidP="009C6AB5">
      <w:pPr>
        <w:numPr>
          <w:ilvl w:val="0"/>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Cross-Cultural Integration</w:t>
      </w:r>
    </w:p>
    <w:p w14:paraId="3B7A36B0"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Some feedback from regional offices (e.g. China) indicated gaps in engagement and contextualization.</w:t>
      </w:r>
    </w:p>
    <w:p w14:paraId="5A90D950"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Needs to tailor initiatives and communication to local contexts more effectively.</w:t>
      </w:r>
    </w:p>
    <w:p w14:paraId="01EDAC48" w14:textId="77777777" w:rsidR="009C6AB5" w:rsidRPr="009C6AB5" w:rsidRDefault="009C6AB5" w:rsidP="009C6AB5">
      <w:pPr>
        <w:numPr>
          <w:ilvl w:val="0"/>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b/>
          <w:bCs/>
          <w:sz w:val="21"/>
          <w:szCs w:val="21"/>
        </w:rPr>
        <w:t>Sustaining Personal Resilience</w:t>
      </w:r>
    </w:p>
    <w:p w14:paraId="15F6EDF2" w14:textId="77777777" w:rsidR="009C6AB5" w:rsidRPr="009C6AB5" w:rsidRDefault="009C6AB5" w:rsidP="009C6AB5">
      <w:pPr>
        <w:numPr>
          <w:ilvl w:val="1"/>
          <w:numId w:val="36"/>
        </w:num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High workload throughout the year; should prioritize well-being and recovery to maintain long-term effectiveness.</w:t>
      </w:r>
    </w:p>
    <w:p w14:paraId="3D1321B3" w14:textId="77777777" w:rsidR="009C6AB5" w:rsidRPr="009C6AB5" w:rsidRDefault="00977BB2" w:rsidP="009C6AB5">
      <w:pPr>
        <w:spacing w:line="300" w:lineRule="atLeast"/>
        <w:rPr>
          <w:rFonts w:ascii="Segoe UI" w:hAnsi="Segoe UI" w:cs="Segoe UI"/>
          <w:sz w:val="21"/>
          <w:szCs w:val="21"/>
        </w:rPr>
      </w:pPr>
      <w:r>
        <w:rPr>
          <w:rFonts w:ascii="Segoe UI" w:hAnsi="Segoe UI" w:cs="Segoe UI"/>
          <w:sz w:val="21"/>
          <w:szCs w:val="21"/>
        </w:rPr>
        <w:pict w14:anchorId="0B92503C">
          <v:rect id="_x0000_i1045" style="width:0;height:1.5pt" o:hralign="center" o:hrstd="t" o:hr="t" fillcolor="#a0a0a0" stroked="f"/>
        </w:pict>
      </w:r>
    </w:p>
    <w:p w14:paraId="2200B721" w14:textId="77777777" w:rsidR="009C6AB5" w:rsidRPr="009C6AB5" w:rsidRDefault="009C6AB5" w:rsidP="009C6AB5">
      <w:pPr>
        <w:spacing w:before="100" w:beforeAutospacing="1" w:after="100" w:afterAutospacing="1" w:line="300" w:lineRule="atLeast"/>
        <w:rPr>
          <w:rFonts w:ascii="Segoe UI" w:hAnsi="Segoe UI" w:cs="Segoe UI"/>
          <w:sz w:val="21"/>
          <w:szCs w:val="21"/>
        </w:rPr>
      </w:pPr>
      <w:r w:rsidRPr="009C6AB5">
        <w:rPr>
          <w:rFonts w:ascii="Segoe UI" w:hAnsi="Segoe UI" w:cs="Segoe UI"/>
          <w:sz w:val="21"/>
          <w:szCs w:val="21"/>
        </w:rPr>
        <w:t>Would you like a leadership development tracker or coaching plan based on these points?</w:t>
      </w:r>
    </w:p>
    <w:p w14:paraId="5BF5CC29" w14:textId="77777777" w:rsidR="000A107E" w:rsidRPr="000A107E" w:rsidRDefault="000A107E" w:rsidP="000A107E">
      <w:pPr>
        <w:spacing w:after="160" w:line="278" w:lineRule="auto"/>
        <w:rPr>
          <w:rFonts w:ascii="Calibri" w:eastAsia="DengXian" w:hAnsi="Calibri"/>
          <w:kern w:val="2"/>
          <w:sz w:val="24"/>
          <w:szCs w:val="24"/>
          <w14:ligatures w14:val="standardContextual"/>
        </w:rPr>
      </w:pPr>
    </w:p>
    <w:p w14:paraId="5810315D" w14:textId="77777777" w:rsidR="000A107E" w:rsidRDefault="000A107E" w:rsidP="000A107E">
      <w:pPr>
        <w:spacing w:after="100"/>
      </w:pPr>
      <w:r>
        <w:rPr>
          <w:rFonts w:ascii="Segoe UI" w:eastAsia="Segoe UI" w:hAnsi="Segoe UI" w:cs="Segoe UI"/>
          <w:b/>
          <w:bCs/>
          <w:color w:val="323130"/>
          <w:sz w:val="34"/>
          <w:szCs w:val="34"/>
        </w:rPr>
        <w:t>Transcript</w:t>
      </w:r>
    </w:p>
    <w:p w14:paraId="0042A10B" w14:textId="77777777" w:rsidR="000A107E" w:rsidRDefault="000A107E" w:rsidP="000A107E">
      <w:pPr>
        <w:spacing w:after="100"/>
      </w:pPr>
      <w:r>
        <w:rPr>
          <w:rFonts w:ascii="Segoe UI" w:eastAsia="Segoe UI" w:hAnsi="Segoe UI" w:cs="Segoe UI"/>
          <w:color w:val="605E5C"/>
          <w:sz w:val="17"/>
          <w:szCs w:val="17"/>
        </w:rPr>
        <w:t>October 22, 2025, 3:46AM</w:t>
      </w:r>
    </w:p>
    <w:p w14:paraId="483A5486" w14:textId="6FEFB878" w:rsidR="002E5D03" w:rsidRDefault="00977BB2">
      <w:pPr>
        <w:spacing w:line="300" w:lineRule="auto"/>
      </w:pPr>
      <w:r>
        <w:rPr>
          <w:noProof/>
        </w:rPr>
        <w:drawing>
          <wp:anchor distT="0" distB="0" distL="0" distR="0" simplePos="0" relativeHeight="251656704" behindDoc="0" locked="0" layoutInCell="1" allowOverlap="1" wp14:anchorId="483A5489" wp14:editId="483A548A">
            <wp:simplePos x="0" y="0"/>
            <wp:positionH relativeFrom="page">
              <wp:posOffset>621792</wp:posOffset>
            </wp:positionH>
            <wp:positionV relativeFrom="paragraph">
              <wp:posOffset>274320</wp:posOffset>
            </wp:positionV>
            <wp:extent cx="209550" cy="2095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9"/>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t xml:space="preserve">Loh Niap Juan </w:t>
      </w:r>
      <w:r>
        <w:rPr>
          <w:rFonts w:ascii="Segoe UI" w:eastAsia="Segoe UI" w:hAnsi="Segoe UI" w:cs="Segoe UI"/>
          <w:color w:val="A19F9D"/>
          <w:sz w:val="24"/>
          <w:szCs w:val="24"/>
        </w:rPr>
        <w:t>started transcription</w:t>
      </w:r>
    </w:p>
    <w:p w14:paraId="483A5487" w14:textId="77777777" w:rsidR="002E5D03" w:rsidRDefault="00977BB2">
      <w:pPr>
        <w:spacing w:line="300" w:lineRule="auto"/>
      </w:pPr>
      <w:r>
        <w:rPr>
          <w:noProof/>
        </w:rPr>
        <w:drawing>
          <wp:anchor distT="0" distB="0" distL="0" distR="0" simplePos="0" relativeHeight="251658752" behindDoc="0" locked="0" layoutInCell="1" allowOverlap="1" wp14:anchorId="483A548B" wp14:editId="483A548C">
            <wp:simplePos x="0" y="0"/>
            <wp:positionH relativeFrom="page">
              <wp:posOffset>576072</wp:posOffset>
            </wp:positionH>
            <wp:positionV relativeFrom="paragraph">
              <wp:posOffset>292608</wp:posOffset>
            </wp:positionV>
            <wp:extent cx="276225" cy="276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0"/>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t xml:space="preserve">Loh Niap Juan   </w:t>
      </w:r>
      <w:r>
        <w:rPr>
          <w:rFonts w:ascii="Segoe UI" w:eastAsia="Segoe UI" w:hAnsi="Segoe UI" w:cs="Segoe UI"/>
          <w:color w:val="A19F9D"/>
          <w:sz w:val="24"/>
          <w:szCs w:val="24"/>
        </w:rPr>
        <w:t>0:05</w:t>
      </w:r>
      <w:r>
        <w:rPr>
          <w:rFonts w:ascii="Segoe UI" w:eastAsia="Segoe UI" w:hAnsi="Segoe UI" w:cs="Segoe UI"/>
          <w:color w:val="323130"/>
          <w:sz w:val="24"/>
          <w:szCs w:val="24"/>
        </w:rPr>
        <w:br/>
        <w:t>Show transcript.</w:t>
      </w:r>
      <w:r>
        <w:rPr>
          <w:rFonts w:ascii="Segoe UI" w:eastAsia="Segoe UI" w:hAnsi="Segoe UI" w:cs="Segoe UI"/>
          <w:color w:val="323130"/>
          <w:sz w:val="24"/>
          <w:szCs w:val="24"/>
        </w:rPr>
        <w:br/>
        <w:t>It.</w:t>
      </w:r>
      <w:r>
        <w:rPr>
          <w:rFonts w:ascii="Segoe UI" w:eastAsia="Segoe UI" w:hAnsi="Segoe UI" w:cs="Segoe UI"/>
          <w:color w:val="323130"/>
          <w:sz w:val="24"/>
          <w:szCs w:val="24"/>
        </w:rPr>
        <w:br/>
      </w:r>
      <w:r>
        <w:rPr>
          <w:rFonts w:ascii="Segoe UI" w:eastAsia="Segoe UI" w:hAnsi="Segoe UI" w:cs="Segoe UI"/>
          <w:color w:val="323130"/>
          <w:sz w:val="24"/>
          <w:szCs w:val="24"/>
        </w:rPr>
        <w:t xml:space="preserve">OK. I think, yes, I think it works. OK. So anyway, yeah,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mean like you know I, I,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saw that you have kind of like you know also communicate also with Fred you know and then you know and of course I, I, I don't know why he, you know, I think he just basically said that you know.</w:t>
      </w:r>
      <w:r>
        <w:rPr>
          <w:rFonts w:ascii="Segoe UI" w:eastAsia="Segoe UI" w:hAnsi="Segoe UI" w:cs="Segoe UI"/>
          <w:color w:val="323130"/>
          <w:sz w:val="24"/>
          <w:szCs w:val="24"/>
        </w:rPr>
        <w:br/>
        <w:t>You know about the executive director role, but also he also said that you know if there's a role that you know you could play, you know also you know that's also aligned with your purpose and your passion, you know, I think t</w:t>
      </w:r>
      <w:r>
        <w:rPr>
          <w:rFonts w:ascii="Segoe UI" w:eastAsia="Segoe UI" w:hAnsi="Segoe UI" w:cs="Segoe UI"/>
          <w:color w:val="323130"/>
          <w:sz w:val="24"/>
          <w:szCs w:val="24"/>
        </w:rPr>
        <w:t>hat's the thing. And also maybe, you know, I think before we go into the Fred's stuff as well, you know, I mean based on our last discussion.</w:t>
      </w:r>
      <w:r>
        <w:rPr>
          <w:rFonts w:ascii="Segoe UI" w:eastAsia="Segoe UI" w:hAnsi="Segoe UI" w:cs="Segoe UI"/>
          <w:color w:val="323130"/>
          <w:sz w:val="24"/>
          <w:szCs w:val="24"/>
        </w:rPr>
        <w:br/>
        <w:t xml:space="preserve">As well, you know,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did, we did say that you know we're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do a restructuring as well. But having said that, I also want to, you know, recognize you for, you know, whatever contributions that you've actually put in. You know, I think there are several things. It's our first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The transformation in terms of like you know, the mindset, you know, using AI,</w:t>
      </w:r>
      <w:r>
        <w:rPr>
          <w:rFonts w:ascii="Segoe UI" w:eastAsia="Segoe UI" w:hAnsi="Segoe UI" w:cs="Segoe UI"/>
          <w:color w:val="323130"/>
          <w:sz w:val="24"/>
          <w:szCs w:val="24"/>
        </w:rPr>
        <w:t xml:space="preserve"> I think that's something that you've been quite instrumental in terms of like you know, driving and pushing that part of it in.</w:t>
      </w:r>
      <w:r>
        <w:rPr>
          <w:rFonts w:ascii="Segoe UI" w:eastAsia="Segoe UI" w:hAnsi="Segoe UI" w:cs="Segoe UI"/>
          <w:color w:val="323130"/>
          <w:sz w:val="24"/>
          <w:szCs w:val="24"/>
        </w:rPr>
        <w:br/>
        <w:t xml:space="preserve">Secondly, of course, and I think you know you've been also working against a current, opposite current of like you know, people leaving and all that stuff in terms of resourcing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so and so forth. So I also understand that's also quite difficult as well. You know, I mean all coaches are actually on venue.</w:t>
      </w:r>
      <w:r>
        <w:rPr>
          <w:rFonts w:ascii="Segoe UI" w:eastAsia="Segoe UI" w:hAnsi="Segoe UI" w:cs="Segoe UI"/>
          <w:color w:val="323130"/>
          <w:sz w:val="24"/>
          <w:szCs w:val="24"/>
        </w:rPr>
        <w:br/>
        <w:t>Right now other than Joanna, in fact your old team is actually brand n</w:t>
      </w:r>
      <w:r>
        <w:rPr>
          <w:rFonts w:ascii="Segoe UI" w:eastAsia="Segoe UI" w:hAnsi="Segoe UI" w:cs="Segoe UI"/>
          <w:color w:val="323130"/>
          <w:sz w:val="24"/>
          <w:szCs w:val="24"/>
        </w:rPr>
        <w:t xml:space="preserve">ew, you know, other than Joanna. Third of course, you know, I think you know in terms of like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STP, you know the social transformation project. I think that's something that you know of course you know whilst we have not started.</w:t>
      </w:r>
      <w:r>
        <w:rPr>
          <w:rFonts w:ascii="Segoe UI" w:eastAsia="Segoe UI" w:hAnsi="Segoe UI" w:cs="Segoe UI"/>
          <w:color w:val="323130"/>
          <w:sz w:val="24"/>
          <w:szCs w:val="24"/>
        </w:rPr>
        <w:br/>
        <w:t xml:space="preserve">In a big way by at least not to get from the zero to 1, you know in terms of getting this project, you know, align, you know, sign, you know, communicate that you know and also with Dr. Malik Maliki coming in, I think, I think was also kind of like you know, credit </w:t>
      </w:r>
      <w:r>
        <w:rPr>
          <w:rFonts w:ascii="Segoe UI" w:eastAsia="Segoe UI" w:hAnsi="Segoe UI" w:cs="Segoe UI"/>
          <w:color w:val="323130"/>
          <w:sz w:val="24"/>
          <w:szCs w:val="24"/>
        </w:rPr>
        <w:t>to you, you know so.</w:t>
      </w:r>
      <w:r>
        <w:rPr>
          <w:rFonts w:ascii="Segoe UI" w:eastAsia="Segoe UI" w:hAnsi="Segoe UI" w:cs="Segoe UI"/>
          <w:color w:val="323130"/>
          <w:sz w:val="24"/>
          <w:szCs w:val="24"/>
        </w:rPr>
        <w:br/>
        <w:t xml:space="preserve">You know, with regards to this, I would say that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the, your strengths actually coming in, you know, I'd say maybe from 2 aspects, one in terms of like you know, trying to.</w:t>
      </w:r>
      <w:r>
        <w:rPr>
          <w:rFonts w:ascii="Segoe UI" w:eastAsia="Segoe UI" w:hAnsi="Segoe UI" w:cs="Segoe UI"/>
          <w:color w:val="323130"/>
          <w:sz w:val="24"/>
          <w:szCs w:val="24"/>
        </w:rPr>
        <w:br/>
        <w:t xml:space="preserve">Kind of like you know engage and bring you know external elements you know external and internal elements bringing it together you know. So an example is like you know this you know the STP project itself, the social transformation project you know of which I think 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know it took us a long time </w:t>
      </w:r>
      <w:r>
        <w:rPr>
          <w:rFonts w:ascii="Segoe UI" w:eastAsia="Segoe UI" w:hAnsi="Segoe UI" w:cs="Segoe UI"/>
          <w:color w:val="323130"/>
          <w:sz w:val="24"/>
          <w:szCs w:val="24"/>
        </w:rPr>
        <w:t>having said that you know but you know it also.</w:t>
      </w:r>
      <w:r>
        <w:rPr>
          <w:rFonts w:ascii="Segoe UI" w:eastAsia="Segoe UI" w:hAnsi="Segoe UI" w:cs="Segoe UI"/>
          <w:color w:val="323130"/>
          <w:sz w:val="24"/>
          <w:szCs w:val="24"/>
        </w:rPr>
        <w:br/>
        <w:t>It also it also felt you know that you know things were coming you know together you know over a period of time because I think you know there was this constant drive towards it. Second thing also I mean like you know you do have I would say quite a good engagement style even with the internal folks as well.</w:t>
      </w:r>
      <w:r>
        <w:rPr>
          <w:rFonts w:ascii="Segoe UI" w:eastAsia="Segoe UI" w:hAnsi="Segoe UI" w:cs="Segoe UI"/>
          <w:color w:val="323130"/>
          <w:sz w:val="24"/>
          <w:szCs w:val="24"/>
        </w:rPr>
        <w:br/>
        <w:t>So I think on the on the, on the, on the especially you know I think when it comes to kind of like engaging the employees and stuff you know you know with</w:t>
      </w:r>
      <w:r>
        <w:rPr>
          <w:rFonts w:ascii="Segoe UI" w:eastAsia="Segoe UI" w:hAnsi="Segoe UI" w:cs="Segoe UI"/>
          <w:color w:val="323130"/>
          <w:sz w:val="24"/>
          <w:szCs w:val="24"/>
        </w:rPr>
        <w:t xml:space="preserve"> regards to kind of like getting people on to quantum leadership, you know getting people you know and 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are able to kind of you know convey the language you know I think in terms of.</w:t>
      </w:r>
      <w:r>
        <w:rPr>
          <w:rFonts w:ascii="Segoe UI" w:eastAsia="Segoe UI" w:hAnsi="Segoe UI" w:cs="Segoe UI"/>
          <w:color w:val="323130"/>
          <w:sz w:val="24"/>
          <w:szCs w:val="24"/>
        </w:rPr>
        <w:br/>
        <w:t>Oh.</w:t>
      </w:r>
      <w:r>
        <w:rPr>
          <w:rFonts w:ascii="Segoe UI" w:eastAsia="Segoe UI" w:hAnsi="Segoe UI" w:cs="Segoe UI"/>
          <w:color w:val="323130"/>
          <w:sz w:val="24"/>
          <w:szCs w:val="24"/>
        </w:rPr>
        <w:br/>
        <w:t xml:space="preserve">What, you know, I would say what we expound in what our group's philosophy and what threat you don't usually say, you know, as you mentioned, converting it into a language that is a little bit more digestible or more, more, more, more, more comprehensible. You know, I think, I think into bite size, I think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w:t>
      </w:r>
      <w:r>
        <w:rPr>
          <w:rFonts w:ascii="Segoe UI" w:eastAsia="Segoe UI" w:hAnsi="Segoe UI" w:cs="Segoe UI"/>
          <w:color w:val="323130"/>
          <w:sz w:val="24"/>
          <w:szCs w:val="24"/>
        </w:rPr>
        <w:t>quite.</w:t>
      </w:r>
      <w:r>
        <w:rPr>
          <w:rFonts w:ascii="Segoe UI" w:eastAsia="Segoe UI" w:hAnsi="Segoe UI" w:cs="Segoe UI"/>
          <w:color w:val="323130"/>
          <w:sz w:val="24"/>
          <w:szCs w:val="24"/>
        </w:rPr>
        <w:br/>
        <w:t>You know, it's definitely, I would say, you know, a skill set you have. OK. Of course, I think you know there are, you know, several aspects that you know which of course you know the also cause us, you know to.</w:t>
      </w:r>
      <w:r>
        <w:rPr>
          <w:rFonts w:ascii="Segoe UI" w:eastAsia="Segoe UI" w:hAnsi="Segoe UI" w:cs="Segoe UI"/>
          <w:color w:val="323130"/>
          <w:sz w:val="24"/>
          <w:szCs w:val="24"/>
        </w:rPr>
        <w:br/>
        <w:t>To not appoint you as the executive director, I think you know one, of course, I think you know there have been feedback, you know, with regards to how you actually manage resources. I know that resources have actually been kind of like you know.</w:t>
      </w:r>
      <w:r>
        <w:rPr>
          <w:rFonts w:ascii="Segoe UI" w:eastAsia="Segoe UI" w:hAnsi="Segoe UI" w:cs="Segoe UI"/>
          <w:color w:val="323130"/>
          <w:sz w:val="24"/>
          <w:szCs w:val="24"/>
        </w:rPr>
        <w:br/>
        <w:t>Morphing because of the people coming and goin</w:t>
      </w:r>
      <w:r>
        <w:rPr>
          <w:rFonts w:ascii="Segoe UI" w:eastAsia="Segoe UI" w:hAnsi="Segoe UI" w:cs="Segoe UI"/>
          <w:color w:val="323130"/>
          <w:sz w:val="24"/>
          <w:szCs w:val="24"/>
        </w:rPr>
        <w:t>g. But you know where, you know, I think it was a little felt that you know, I think you know you weren't too kind of like you know on top of certain, you know, I guess you know things, you know, especially when trying to get the team to kind of work together, especially within the Octave Institute, OK and I think you know.</w:t>
      </w:r>
      <w:r>
        <w:rPr>
          <w:rFonts w:ascii="Segoe UI" w:eastAsia="Segoe UI" w:hAnsi="Segoe UI" w:cs="Segoe UI"/>
          <w:color w:val="323130"/>
          <w:sz w:val="24"/>
          <w:szCs w:val="24"/>
        </w:rPr>
        <w:br/>
        <w:t xml:space="preserve">Maybe examples of this is kind of like you know trying to integrate you know whether it's from the coaching side to and I do notice, I mean I sense that you know 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work them maybe </w:t>
      </w:r>
      <w:r>
        <w:rPr>
          <w:rFonts w:ascii="Segoe UI" w:eastAsia="Segoe UI" w:hAnsi="Segoe UI" w:cs="Segoe UI"/>
          <w:color w:val="323130"/>
          <w:sz w:val="24"/>
          <w:szCs w:val="24"/>
        </w:rPr>
        <w:t xml:space="preserve">through as more like you know a specific </w:t>
      </w:r>
      <w:proofErr w:type="spellStart"/>
      <w:r>
        <w:rPr>
          <w:rFonts w:ascii="Segoe UI" w:eastAsia="Segoe UI" w:hAnsi="Segoe UI" w:cs="Segoe UI"/>
          <w:color w:val="323130"/>
          <w:sz w:val="24"/>
          <w:szCs w:val="24"/>
        </w:rPr>
        <w:t>specific</w:t>
      </w:r>
      <w:proofErr w:type="spellEnd"/>
      <w:r>
        <w:rPr>
          <w:rFonts w:ascii="Segoe UI" w:eastAsia="Segoe UI" w:hAnsi="Segoe UI" w:cs="Segoe UI"/>
          <w:color w:val="323130"/>
          <w:sz w:val="24"/>
          <w:szCs w:val="24"/>
        </w:rPr>
        <w:t xml:space="preserve"> functionality and kind of you know expertise itself you know.</w:t>
      </w:r>
      <w:r>
        <w:rPr>
          <w:rFonts w:ascii="Segoe UI" w:eastAsia="Segoe UI" w:hAnsi="Segoe UI" w:cs="Segoe UI"/>
          <w:color w:val="323130"/>
          <w:sz w:val="24"/>
          <w:szCs w:val="24"/>
        </w:rPr>
        <w:br/>
        <w:t xml:space="preserve">And hence that's where I mean like you know, you know this feedback. I felt like I'm just being so open with you as well that you know sometimes you know the Joanna's may not know what the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not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another part of it you know which of course last time you used to have this training curricula.</w:t>
      </w:r>
      <w:r>
        <w:rPr>
          <w:rFonts w:ascii="Segoe UI" w:eastAsia="Segoe UI" w:hAnsi="Segoe UI" w:cs="Segoe UI"/>
          <w:color w:val="323130"/>
          <w:sz w:val="24"/>
          <w:szCs w:val="24"/>
        </w:rPr>
        <w:br/>
        <w:t>You know and all that that and you know everybody is kind of like you know doing i</w:t>
      </w:r>
      <w:r>
        <w:rPr>
          <w:rFonts w:ascii="Segoe UI" w:eastAsia="Segoe UI" w:hAnsi="Segoe UI" w:cs="Segoe UI"/>
          <w:color w:val="323130"/>
          <w:sz w:val="24"/>
          <w:szCs w:val="24"/>
        </w:rPr>
        <w:t>t in its own you know silo itself to a certain extent you know and perhaps that part of it you know from a measure standpoint is more the integration aspect of it. You know I think individually you've been managing supervising them well but trying to maybe kind of like you know connect.</w:t>
      </w:r>
      <w:r>
        <w:rPr>
          <w:rFonts w:ascii="Segoe UI" w:eastAsia="Segoe UI" w:hAnsi="Segoe UI" w:cs="Segoe UI"/>
          <w:color w:val="323130"/>
          <w:sz w:val="24"/>
          <w:szCs w:val="24"/>
        </w:rPr>
        <w:br/>
        <w:t>And integrate them together is probably something that you've not been able to do as well. And I think that's just a just a just a just a feedback, you know, you know also for you as well. You know, you know it could be some</w:t>
      </w:r>
      <w:r>
        <w:rPr>
          <w:rFonts w:ascii="Segoe UI" w:eastAsia="Segoe UI" w:hAnsi="Segoe UI" w:cs="Segoe UI"/>
          <w:color w:val="323130"/>
          <w:sz w:val="24"/>
          <w:szCs w:val="24"/>
        </w:rPr>
        <w:t>thing that you know, I don't think it's a major issue. It's just more that you try to kind of like you know, bring everybody you know on the same page.</w:t>
      </w:r>
      <w:r>
        <w:rPr>
          <w:rFonts w:ascii="Segoe UI" w:eastAsia="Segoe UI" w:hAnsi="Segoe UI" w:cs="Segoe UI"/>
          <w:color w:val="323130"/>
          <w:sz w:val="24"/>
          <w:szCs w:val="24"/>
        </w:rPr>
        <w:br/>
        <w:t xml:space="preserve">You know, despite their different kind of functional elements, working quite often. I think second thing of course, you know, I don't know why you </w:t>
      </w:r>
      <w:proofErr w:type="spellStart"/>
      <w:r>
        <w:rPr>
          <w:rFonts w:ascii="Segoe UI" w:eastAsia="Segoe UI" w:hAnsi="Segoe UI" w:cs="Segoe UI"/>
          <w:color w:val="323130"/>
          <w:sz w:val="24"/>
          <w:szCs w:val="24"/>
        </w:rPr>
        <w:t>you</w:t>
      </w:r>
      <w:proofErr w:type="spellEnd"/>
      <w:r>
        <w:rPr>
          <w:rFonts w:ascii="Segoe UI" w:eastAsia="Segoe UI" w:hAnsi="Segoe UI" w:cs="Segoe UI"/>
          <w:color w:val="323130"/>
          <w:sz w:val="24"/>
          <w:szCs w:val="24"/>
        </w:rPr>
        <w:t xml:space="preserve"> the, the, the, the, the alpha women's in our group have for you for some reason, you know.</w:t>
      </w:r>
      <w:r>
        <w:rPr>
          <w:rFonts w:ascii="Segoe UI" w:eastAsia="Segoe UI" w:hAnsi="Segoe UI" w:cs="Segoe UI"/>
          <w:color w:val="323130"/>
          <w:sz w:val="24"/>
          <w:szCs w:val="24"/>
        </w:rPr>
        <w:br/>
        <w:t xml:space="preserve">Whether it's the </w:t>
      </w:r>
      <w:proofErr w:type="spellStart"/>
      <w:r>
        <w:rPr>
          <w:rFonts w:ascii="Segoe UI" w:eastAsia="Segoe UI" w:hAnsi="Segoe UI" w:cs="Segoe UI"/>
          <w:color w:val="323130"/>
          <w:sz w:val="24"/>
          <w:szCs w:val="24"/>
        </w:rPr>
        <w:t>subis</w:t>
      </w:r>
      <w:proofErr w:type="spellEnd"/>
      <w:r>
        <w:rPr>
          <w:rFonts w:ascii="Segoe UI" w:eastAsia="Segoe UI" w:hAnsi="Segoe UI" w:cs="Segoe UI"/>
          <w:color w:val="323130"/>
          <w:sz w:val="24"/>
          <w:szCs w:val="24"/>
        </w:rPr>
        <w:t xml:space="preserve"> or the </w:t>
      </w:r>
      <w:proofErr w:type="spellStart"/>
      <w:r>
        <w:rPr>
          <w:rFonts w:ascii="Segoe UI" w:eastAsia="Segoe UI" w:hAnsi="Segoe UI" w:cs="Segoe UI"/>
          <w:color w:val="323130"/>
          <w:sz w:val="24"/>
          <w:szCs w:val="24"/>
        </w:rPr>
        <w:t>sherin's</w:t>
      </w:r>
      <w:proofErr w:type="spellEnd"/>
      <w:r>
        <w:rPr>
          <w:rFonts w:ascii="Segoe UI" w:eastAsia="Segoe UI" w:hAnsi="Segoe UI" w:cs="Segoe UI"/>
          <w:color w:val="323130"/>
          <w:sz w:val="24"/>
          <w:szCs w:val="24"/>
        </w:rPr>
        <w:t>, you know, the especially the aggressive one, you know, I don't know whether it</w:t>
      </w:r>
      <w:r>
        <w:rPr>
          <w:rFonts w:ascii="Segoe UI" w:eastAsia="Segoe UI" w:hAnsi="Segoe UI" w:cs="Segoe UI"/>
          <w:color w:val="323130"/>
          <w:sz w:val="24"/>
          <w:szCs w:val="24"/>
        </w:rPr>
        <w:t xml:space="preserve">'s also because of a style, you know, because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I've not seen how exactly being interacted, but feedback coming from them tends to be there, you know?</w:t>
      </w:r>
      <w:r>
        <w:rPr>
          <w:rFonts w:ascii="Segoe UI" w:eastAsia="Segoe UI" w:hAnsi="Segoe UI" w:cs="Segoe UI"/>
          <w:color w:val="323130"/>
          <w:sz w:val="24"/>
          <w:szCs w:val="24"/>
        </w:rPr>
        <w:br/>
        <w:t xml:space="preserve">You know, can you move a little bit faster? And maybe they are very </w:t>
      </w:r>
      <w:proofErr w:type="spellStart"/>
      <w:r>
        <w:rPr>
          <w:rFonts w:ascii="Segoe UI" w:eastAsia="Segoe UI" w:hAnsi="Segoe UI" w:cs="Segoe UI"/>
          <w:color w:val="323130"/>
          <w:sz w:val="24"/>
          <w:szCs w:val="24"/>
        </w:rPr>
        <w:t>kangchong</w:t>
      </w:r>
      <w:proofErr w:type="spellEnd"/>
      <w:r>
        <w:rPr>
          <w:rFonts w:ascii="Segoe UI" w:eastAsia="Segoe UI" w:hAnsi="Segoe UI" w:cs="Segoe UI"/>
          <w:color w:val="323130"/>
          <w:sz w:val="24"/>
          <w:szCs w:val="24"/>
        </w:rPr>
        <w:t>. Maybe they could be very persistent. They are, they are, they are, they are always waiting for, you know, they are always kind of like, you know, in a rush to get things done and so, you know, and maybe your style is a little bit more considered. You know, you have a little bit.</w:t>
      </w:r>
      <w:r>
        <w:rPr>
          <w:rFonts w:ascii="Segoe UI" w:eastAsia="Segoe UI" w:hAnsi="Segoe UI" w:cs="Segoe UI"/>
          <w:color w:val="323130"/>
          <w:sz w:val="24"/>
          <w:szCs w:val="24"/>
        </w:rPr>
        <w:br/>
      </w:r>
      <w:r>
        <w:rPr>
          <w:rFonts w:ascii="Segoe UI" w:eastAsia="Segoe UI" w:hAnsi="Segoe UI" w:cs="Segoe UI"/>
          <w:color w:val="323130"/>
          <w:sz w:val="24"/>
          <w:szCs w:val="24"/>
        </w:rPr>
        <w:t xml:space="preserve">More deliberate and considered itself and hence that's why there could be a mismatch in terms of like you know whether it's the speed of execution,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alignment in terms of like you know the question and answer itself, you know you know because you know sometimes I also notice that you know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The likes of, you know, the alphas, you know, they want a straight answer, you know, yes and no type thing itself. And of course you are trying to tell them the whole context of this thing</w:t>
      </w:r>
      <w:r>
        <w:rPr>
          <w:rFonts w:ascii="Segoe UI" w:eastAsia="Segoe UI" w:hAnsi="Segoe UI" w:cs="Segoe UI"/>
          <w:color w:val="323130"/>
          <w:sz w:val="24"/>
          <w:szCs w:val="24"/>
        </w:rPr>
        <w:t xml:space="preserve"> as to maybe it can be a years old, you know, type of thing itself, so that there is some.</w:t>
      </w:r>
      <w:r>
        <w:rPr>
          <w:rFonts w:ascii="Segoe UI" w:eastAsia="Segoe UI" w:hAnsi="Segoe UI" w:cs="Segoe UI"/>
          <w:color w:val="323130"/>
          <w:sz w:val="24"/>
          <w:szCs w:val="24"/>
        </w:rPr>
        <w:br/>
        <w:t xml:space="preserve">You know, I felt there's some kind of like, you know, mismatch, you know, and like I say, it could be a personality, it could be a style thing itself. But you know, it's something that maybe I don't know where you detected it yourself as well, you know, because sometimes, you know, I mean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the, the, the, the, the more aggressive managers, they just want, you know, tell me, can do, you know, yes or no, you know</w:t>
      </w:r>
      <w:r>
        <w:rPr>
          <w:rFonts w:ascii="Segoe UI" w:eastAsia="Segoe UI" w:hAnsi="Segoe UI" w:cs="Segoe UI"/>
          <w:color w:val="323130"/>
          <w:sz w:val="24"/>
          <w:szCs w:val="24"/>
        </w:rPr>
        <w:t>.</w:t>
      </w:r>
      <w:r>
        <w:rPr>
          <w:rFonts w:ascii="Segoe UI" w:eastAsia="Segoe UI" w:hAnsi="Segoe UI" w:cs="Segoe UI"/>
          <w:color w:val="323130"/>
          <w:sz w:val="24"/>
          <w:szCs w:val="24"/>
        </w:rPr>
        <w:br/>
        <w:t>And.</w:t>
      </w:r>
      <w:r>
        <w:rPr>
          <w:rFonts w:ascii="Segoe UI" w:eastAsia="Segoe UI" w:hAnsi="Segoe UI" w:cs="Segoe UI"/>
          <w:color w:val="323130"/>
          <w:sz w:val="24"/>
          <w:szCs w:val="24"/>
        </w:rPr>
        <w:br/>
        <w:t>You say can do means cannot and then of course you say cannot do, they won't accept it. So, so I think, I think, I think those are just kind of like you know how I see the feedback then of course you know I think you know continuing on like you know the your communication with Fred as well I think in terms of what you want to do and we also had this discussion I think last week.</w:t>
      </w:r>
      <w:r>
        <w:rPr>
          <w:rFonts w:ascii="Segoe UI" w:eastAsia="Segoe UI" w:hAnsi="Segoe UI" w:cs="Segoe UI"/>
          <w:color w:val="323130"/>
          <w:sz w:val="24"/>
          <w:szCs w:val="24"/>
        </w:rPr>
        <w:br/>
        <w:t>As well, you know, like I said, I think, you know, it's good that we put it on our table such that, you know, I can also se</w:t>
      </w:r>
      <w:r>
        <w:rPr>
          <w:rFonts w:ascii="Segoe UI" w:eastAsia="Segoe UI" w:hAnsi="Segoe UI" w:cs="Segoe UI"/>
          <w:color w:val="323130"/>
          <w:sz w:val="24"/>
          <w:szCs w:val="24"/>
        </w:rPr>
        <w:t>e how I can help you, you know, kind of, you know, build a role for you, you know, within the organization as well. Yeah, yeah.</w:t>
      </w:r>
      <w:r>
        <w:rPr>
          <w:rFonts w:ascii="Segoe UI" w:eastAsia="Segoe UI" w:hAnsi="Segoe UI" w:cs="Segoe UI"/>
          <w:color w:val="323130"/>
          <w:sz w:val="24"/>
          <w:szCs w:val="24"/>
        </w:rPr>
        <w:br/>
        <w:t xml:space="preserve">So thanks Neil for </w:t>
      </w:r>
      <w:proofErr w:type="spellStart"/>
      <w:r>
        <w:rPr>
          <w:rFonts w:ascii="Segoe UI" w:eastAsia="Segoe UI" w:hAnsi="Segoe UI" w:cs="Segoe UI"/>
          <w:color w:val="323130"/>
          <w:sz w:val="24"/>
          <w:szCs w:val="24"/>
        </w:rPr>
        <w:t>for</w:t>
      </w:r>
      <w:proofErr w:type="spellEnd"/>
      <w:r>
        <w:rPr>
          <w:rFonts w:ascii="Segoe UI" w:eastAsia="Segoe UI" w:hAnsi="Segoe UI" w:cs="Segoe UI"/>
          <w:color w:val="323130"/>
          <w:sz w:val="24"/>
          <w:szCs w:val="24"/>
        </w:rPr>
        <w:t xml:space="preserve"> the feedback and comments. So maybe starting with what I've done well, thank you for acknowledging that the projects that I've been given and I think you know have not been easy.</w:t>
      </w:r>
      <w:r>
        <w:rPr>
          <w:rFonts w:ascii="Segoe UI" w:eastAsia="Segoe UI" w:hAnsi="Segoe UI" w:cs="Segoe UI"/>
          <w:color w:val="323130"/>
          <w:sz w:val="24"/>
          <w:szCs w:val="24"/>
        </w:rPr>
        <w:br/>
        <w:t xml:space="preserve">Transforming digital and AI, infusing it from a bottoms up approach takes organizations many years and it's usually a focused job. That's why they </w:t>
      </w:r>
      <w:proofErr w:type="spellStart"/>
      <w:r>
        <w:rPr>
          <w:rFonts w:ascii="Segoe UI" w:eastAsia="Segoe UI" w:hAnsi="Segoe UI" w:cs="Segoe UI"/>
          <w:color w:val="323130"/>
          <w:sz w:val="24"/>
          <w:szCs w:val="24"/>
        </w:rPr>
        <w:t>they</w:t>
      </w:r>
      <w:proofErr w:type="spellEnd"/>
      <w:r>
        <w:rPr>
          <w:rFonts w:ascii="Segoe UI" w:eastAsia="Segoe UI" w:hAnsi="Segoe UI" w:cs="Segoe UI"/>
          <w:color w:val="323130"/>
          <w:sz w:val="24"/>
          <w:szCs w:val="24"/>
        </w:rPr>
        <w:t xml:space="preserve"> have the higher CTO's or </w:t>
      </w:r>
      <w:proofErr w:type="spellStart"/>
      <w:r>
        <w:rPr>
          <w:rFonts w:ascii="Segoe UI" w:eastAsia="Segoe UI" w:hAnsi="Segoe UI" w:cs="Segoe UI"/>
          <w:color w:val="323130"/>
          <w:sz w:val="24"/>
          <w:szCs w:val="24"/>
        </w:rPr>
        <w:t>or</w:t>
      </w:r>
      <w:proofErr w:type="spellEnd"/>
      <w:r>
        <w:rPr>
          <w:rFonts w:ascii="Segoe UI" w:eastAsia="Segoe UI" w:hAnsi="Segoe UI" w:cs="Segoe UI"/>
          <w:color w:val="323130"/>
          <w:sz w:val="24"/>
          <w:szCs w:val="24"/>
        </w:rPr>
        <w:t xml:space="preserve"> GT</w:t>
      </w:r>
      <w:r>
        <w:rPr>
          <w:rFonts w:ascii="Segoe UI" w:eastAsia="Segoe UI" w:hAnsi="Segoe UI" w:cs="Segoe UI"/>
          <w:color w:val="323130"/>
          <w:sz w:val="24"/>
          <w:szCs w:val="24"/>
        </w:rPr>
        <w:t>O's for the better.</w:t>
      </w:r>
      <w:r>
        <w:rPr>
          <w:rFonts w:ascii="Segoe UI" w:eastAsia="Segoe UI" w:hAnsi="Segoe UI" w:cs="Segoe UI"/>
          <w:color w:val="323130"/>
          <w:sz w:val="24"/>
          <w:szCs w:val="24"/>
        </w:rPr>
        <w:br/>
        <w:t xml:space="preserve">Plus, you know, one year into my </w:t>
      </w:r>
      <w:proofErr w:type="spellStart"/>
      <w:r>
        <w:rPr>
          <w:rFonts w:ascii="Segoe UI" w:eastAsia="Segoe UI" w:hAnsi="Segoe UI" w:cs="Segoe UI"/>
          <w:color w:val="323130"/>
          <w:sz w:val="24"/>
          <w:szCs w:val="24"/>
        </w:rPr>
        <w:t>my</w:t>
      </w:r>
      <w:proofErr w:type="spellEnd"/>
      <w:r>
        <w:rPr>
          <w:rFonts w:ascii="Segoe UI" w:eastAsia="Segoe UI" w:hAnsi="Segoe UI" w:cs="Segoe UI"/>
          <w:color w:val="323130"/>
          <w:sz w:val="24"/>
          <w:szCs w:val="24"/>
        </w:rPr>
        <w:t xml:space="preserve"> tenure, I was asked to build </w:t>
      </w:r>
      <w:proofErr w:type="spellStart"/>
      <w:r>
        <w:rPr>
          <w:rFonts w:ascii="Segoe UI" w:eastAsia="Segoe UI" w:hAnsi="Segoe UI" w:cs="Segoe UI"/>
          <w:color w:val="323130"/>
          <w:sz w:val="24"/>
          <w:szCs w:val="24"/>
        </w:rPr>
        <w:t>Calenders</w:t>
      </w:r>
      <w:proofErr w:type="spellEnd"/>
      <w:r>
        <w:rPr>
          <w:rFonts w:ascii="Segoe UI" w:eastAsia="Segoe UI" w:hAnsi="Segoe UI" w:cs="Segoe UI"/>
          <w:color w:val="323130"/>
          <w:sz w:val="24"/>
          <w:szCs w:val="24"/>
        </w:rPr>
        <w:t>. At that time it was called the 4D4 dimensional performance management system, which at a at a point of time we acknowledge is one of the most intensive.</w:t>
      </w:r>
      <w:r>
        <w:rPr>
          <w:rFonts w:ascii="Segoe UI" w:eastAsia="Segoe UI" w:hAnsi="Segoe UI" w:cs="Segoe UI"/>
          <w:color w:val="323130"/>
          <w:sz w:val="24"/>
          <w:szCs w:val="24"/>
        </w:rPr>
        <w:br/>
        <w:t xml:space="preserve">Perhaps not even sure whether it's possible to even build. And this is outside of what I was hired for, which is very clear. Yeah, OD Relational </w:t>
      </w:r>
      <w:proofErr w:type="spellStart"/>
      <w:r>
        <w:rPr>
          <w:rFonts w:ascii="Segoe UI" w:eastAsia="Segoe UI" w:hAnsi="Segoe UI" w:cs="Segoe UI"/>
          <w:color w:val="323130"/>
          <w:sz w:val="24"/>
          <w:szCs w:val="24"/>
        </w:rPr>
        <w:t>Center</w:t>
      </w:r>
      <w:proofErr w:type="spellEnd"/>
      <w:r>
        <w:rPr>
          <w:rFonts w:ascii="Segoe UI" w:eastAsia="Segoe UI" w:hAnsi="Segoe UI" w:cs="Segoe UI"/>
          <w:color w:val="323130"/>
          <w:sz w:val="24"/>
          <w:szCs w:val="24"/>
        </w:rPr>
        <w:t xml:space="preserve">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the School of Life.</w:t>
      </w:r>
      <w:r>
        <w:rPr>
          <w:rFonts w:ascii="Segoe UI" w:eastAsia="Segoe UI" w:hAnsi="Segoe UI" w:cs="Segoe UI"/>
          <w:color w:val="323130"/>
          <w:sz w:val="24"/>
          <w:szCs w:val="24"/>
        </w:rPr>
        <w:br/>
        <w:t xml:space="preserve">But I took on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task and you saw that to some degree we are at some advanced </w:t>
      </w:r>
      <w:r>
        <w:rPr>
          <w:rFonts w:ascii="Segoe UI" w:eastAsia="Segoe UI" w:hAnsi="Segoe UI" w:cs="Segoe UI"/>
          <w:color w:val="323130"/>
          <w:sz w:val="24"/>
          <w:szCs w:val="24"/>
        </w:rPr>
        <w:t>stage and my rule again that that was in July of 2023 where we are now to have a an engine that's able to.</w:t>
      </w:r>
      <w:r>
        <w:rPr>
          <w:rFonts w:ascii="Segoe UI" w:eastAsia="Segoe UI" w:hAnsi="Segoe UI" w:cs="Segoe UI"/>
          <w:color w:val="323130"/>
          <w:sz w:val="24"/>
          <w:szCs w:val="24"/>
        </w:rPr>
        <w:br/>
        <w:t>To do exactly what we asked for in terms of measurement of consciousness to individual to team, to all of the various four pillars, plus with the social transformation project that also came in also around the same time, these are.</w:t>
      </w:r>
      <w:r>
        <w:rPr>
          <w:rFonts w:ascii="Segoe UI" w:eastAsia="Segoe UI" w:hAnsi="Segoe UI" w:cs="Segoe UI"/>
          <w:color w:val="323130"/>
          <w:sz w:val="24"/>
          <w:szCs w:val="24"/>
        </w:rPr>
        <w:br/>
        <w:t>These are projects that I think you know would require full time attention, multiple stakeholder engagement. We're not just bringing to say that SDP we have somebody to work</w:t>
      </w:r>
      <w:r>
        <w:rPr>
          <w:rFonts w:ascii="Segoe UI" w:eastAsia="Segoe UI" w:hAnsi="Segoe UI" w:cs="Segoe UI"/>
          <w:color w:val="323130"/>
          <w:sz w:val="24"/>
          <w:szCs w:val="24"/>
        </w:rPr>
        <w:t xml:space="preserve"> with. It's really about liaising with.</w:t>
      </w:r>
      <w:r>
        <w:rPr>
          <w:rFonts w:ascii="Segoe UI" w:eastAsia="Segoe UI" w:hAnsi="Segoe UI" w:cs="Segoe UI"/>
          <w:color w:val="323130"/>
          <w:sz w:val="24"/>
          <w:szCs w:val="24"/>
        </w:rPr>
        <w:br/>
        <w:t>Five different ministries who are willing to come on board and of course having a champion, a 25 year cabinet minister who understands Chairman's philosophy and embraces it is it's not an easy thing, man, so.</w:t>
      </w:r>
      <w:r>
        <w:rPr>
          <w:rFonts w:ascii="Segoe UI" w:eastAsia="Segoe UI" w:hAnsi="Segoe UI" w:cs="Segoe UI"/>
          <w:color w:val="323130"/>
          <w:sz w:val="24"/>
          <w:szCs w:val="24"/>
        </w:rPr>
        <w:br/>
        <w:t>So thank you for acknowledging that. Um.</w:t>
      </w:r>
      <w:r>
        <w:rPr>
          <w:rFonts w:ascii="Segoe UI" w:eastAsia="Segoe UI" w:hAnsi="Segoe UI" w:cs="Segoe UI"/>
          <w:color w:val="323130"/>
          <w:sz w:val="24"/>
          <w:szCs w:val="24"/>
        </w:rPr>
        <w:br/>
        <w:t xml:space="preserve">For the feedback that's been given, I maybe you're </w:t>
      </w:r>
      <w:proofErr w:type="spellStart"/>
      <w:r>
        <w:rPr>
          <w:rFonts w:ascii="Segoe UI" w:eastAsia="Segoe UI" w:hAnsi="Segoe UI" w:cs="Segoe UI"/>
          <w:color w:val="323130"/>
          <w:sz w:val="24"/>
          <w:szCs w:val="24"/>
        </w:rPr>
        <w:t>you're</w:t>
      </w:r>
      <w:proofErr w:type="spellEnd"/>
      <w:r>
        <w:rPr>
          <w:rFonts w:ascii="Segoe UI" w:eastAsia="Segoe UI" w:hAnsi="Segoe UI" w:cs="Segoe UI"/>
          <w:color w:val="323130"/>
          <w:sz w:val="24"/>
          <w:szCs w:val="24"/>
        </w:rPr>
        <w:t xml:space="preserve"> right to say I can't manage alpha women very well. I mean, like I'm just saying it as an example and maybe they are not alpha women there because I don't want to.</w:t>
      </w:r>
      <w:r>
        <w:rPr>
          <w:rFonts w:ascii="Segoe UI" w:eastAsia="Segoe UI" w:hAnsi="Segoe UI" w:cs="Segoe UI"/>
          <w:color w:val="323130"/>
          <w:sz w:val="24"/>
          <w:szCs w:val="24"/>
        </w:rPr>
        <w:br/>
        <w:t>I</w:t>
      </w:r>
      <w:r>
        <w:rPr>
          <w:rFonts w:ascii="Segoe UI" w:eastAsia="Segoe UI" w:hAnsi="Segoe UI" w:cs="Segoe UI"/>
          <w:color w:val="323130"/>
          <w:sz w:val="24"/>
          <w:szCs w:val="24"/>
        </w:rPr>
        <w:t xml:space="preserve"> don't think I'm the only one that is faced with this issue. I mean, if you can look at the evidence that's stacked up against me, we can also see that it has been, it has been, it's happened before with other individuals, so.</w:t>
      </w:r>
      <w:r>
        <w:rPr>
          <w:rFonts w:ascii="Segoe UI" w:eastAsia="Segoe UI" w:hAnsi="Segoe UI" w:cs="Segoe UI"/>
          <w:color w:val="323130"/>
          <w:sz w:val="24"/>
          <w:szCs w:val="24"/>
        </w:rPr>
        <w:br/>
        <w:t>I can take it, take Byron Katie's teaching and go, is it true? Is it really, really true? And what, what, what can be done about it? And so I've been asking those questions.</w:t>
      </w:r>
      <w:r>
        <w:rPr>
          <w:rFonts w:ascii="Segoe UI" w:eastAsia="Segoe UI" w:hAnsi="Segoe UI" w:cs="Segoe UI"/>
          <w:color w:val="323130"/>
          <w:sz w:val="24"/>
          <w:szCs w:val="24"/>
        </w:rPr>
        <w:br/>
        <w:t xml:space="preserve">If it's my management style and if it's my way of communicating, I suppose that's something I need to work on. </w:t>
      </w:r>
      <w:r>
        <w:rPr>
          <w:rFonts w:ascii="Segoe UI" w:eastAsia="Segoe UI" w:hAnsi="Segoe UI" w:cs="Segoe UI"/>
          <w:color w:val="323130"/>
          <w:sz w:val="24"/>
          <w:szCs w:val="24"/>
        </w:rPr>
        <w:t>OK. However, with repeated evidence, I think it requires both parties. Yeah, of course, always requires both.</w:t>
      </w:r>
      <w:r>
        <w:rPr>
          <w:rFonts w:ascii="Segoe UI" w:eastAsia="Segoe UI" w:hAnsi="Segoe UI" w:cs="Segoe UI"/>
          <w:color w:val="323130"/>
          <w:sz w:val="24"/>
          <w:szCs w:val="24"/>
        </w:rPr>
        <w:br/>
        <w:t>Thank you for that. The way that I've mentioned team as you would already rightfully put this team has been refreshed and it's new. So all of them starting from square 0 having to understand the philosophy and the approach and the methodology of Octave is foundational and I think.</w:t>
      </w:r>
      <w:r>
        <w:rPr>
          <w:rFonts w:ascii="Segoe UI" w:eastAsia="Segoe UI" w:hAnsi="Segoe UI" w:cs="Segoe UI"/>
          <w:color w:val="323130"/>
          <w:sz w:val="24"/>
          <w:szCs w:val="24"/>
        </w:rPr>
        <w:br/>
        <w:t xml:space="preserve">Taking time to help people understand that it does take time. You've always seen that at meetings and updates I present </w:t>
      </w:r>
      <w:r>
        <w:rPr>
          <w:rFonts w:ascii="Segoe UI" w:eastAsia="Segoe UI" w:hAnsi="Segoe UI" w:cs="Segoe UI"/>
          <w:color w:val="323130"/>
          <w:sz w:val="24"/>
          <w:szCs w:val="24"/>
        </w:rPr>
        <w:t>the team and they are the ones that present the work. In fact, I have a weekly huddle with all of them where they share their work.</w:t>
      </w:r>
      <w:r>
        <w:rPr>
          <w:rFonts w:ascii="Segoe UI" w:eastAsia="Segoe UI" w:hAnsi="Segoe UI" w:cs="Segoe UI"/>
          <w:color w:val="323130"/>
          <w:sz w:val="24"/>
          <w:szCs w:val="24"/>
        </w:rPr>
        <w:br/>
        <w:t>And that means also to share how we can help and contribute to each other's work. This has been something that I've instituted where we have this weekly updates, weekly huddles. So I'm surprised to say that they are in silos because.</w:t>
      </w:r>
      <w:r>
        <w:rPr>
          <w:rFonts w:ascii="Segoe UI" w:eastAsia="Segoe UI" w:hAnsi="Segoe UI" w:cs="Segoe UI"/>
          <w:color w:val="323130"/>
          <w:sz w:val="24"/>
          <w:szCs w:val="24"/>
        </w:rPr>
        <w:br/>
        <w:t>Communication is key in breaking silos. I agree. Sharing a common and shared vision is key to breaking silos and having that safety to share openl</w:t>
      </w:r>
      <w:r>
        <w:rPr>
          <w:rFonts w:ascii="Segoe UI" w:eastAsia="Segoe UI" w:hAnsi="Segoe UI" w:cs="Segoe UI"/>
          <w:color w:val="323130"/>
          <w:sz w:val="24"/>
          <w:szCs w:val="24"/>
        </w:rPr>
        <w:t>y. You can see that they that the team does express some of those as evidence and I've set up the systems and structures for it.</w:t>
      </w:r>
      <w:r>
        <w:rPr>
          <w:rFonts w:ascii="Segoe UI" w:eastAsia="Segoe UI" w:hAnsi="Segoe UI" w:cs="Segoe UI"/>
          <w:color w:val="323130"/>
          <w:sz w:val="24"/>
          <w:szCs w:val="24"/>
        </w:rPr>
        <w:br/>
        <w:t xml:space="preserve">Of course I can do better. I mean, for sure I'm not perfect, but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recognize that feedback and I will think about how we can do better. I think finally would be the speed of doing things, I mean.</w:t>
      </w:r>
      <w:r>
        <w:rPr>
          <w:rFonts w:ascii="Segoe UI" w:eastAsia="Segoe UI" w:hAnsi="Segoe UI" w:cs="Segoe UI"/>
          <w:color w:val="323130"/>
          <w:sz w:val="24"/>
          <w:szCs w:val="24"/>
        </w:rPr>
        <w:br/>
        <w:t xml:space="preserve">When I was tasked to take over the OKRS,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delivered that the OKRS were disseminated and we trained and met. When I was asked to do 360 with within BICS arrival less than a month, i</w:t>
      </w:r>
      <w:r>
        <w:rPr>
          <w:rFonts w:ascii="Segoe UI" w:eastAsia="Segoe UI" w:hAnsi="Segoe UI" w:cs="Segoe UI"/>
          <w:color w:val="323130"/>
          <w:sz w:val="24"/>
          <w:szCs w:val="24"/>
        </w:rPr>
        <w:t>t's already launched.</w:t>
      </w:r>
      <w:r>
        <w:rPr>
          <w:rFonts w:ascii="Segoe UI" w:eastAsia="Segoe UI" w:hAnsi="Segoe UI" w:cs="Segoe UI"/>
          <w:color w:val="323130"/>
          <w:sz w:val="24"/>
          <w:szCs w:val="24"/>
        </w:rPr>
        <w:br/>
        <w:t xml:space="preserve">I think I respond very quickly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the services that are required of TIFF Institute. In fact, many times the good management workshops are one week away and then we deliver. Yeah, no, it's one man away. But then we don't know why it's going to be until, until, until, until the day on the day it's out.</w:t>
      </w:r>
      <w:r>
        <w:rPr>
          <w:rFonts w:ascii="Segoe UI" w:eastAsia="Segoe UI" w:hAnsi="Segoe UI" w:cs="Segoe UI"/>
          <w:color w:val="323130"/>
          <w:sz w:val="24"/>
          <w:szCs w:val="24"/>
        </w:rPr>
        <w:br/>
        <w:t xml:space="preserve">During that session and I think I've shown that I'm versatile and adaptable and we shift and morph and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work with the stakeholders to immediately produce something that that works </w:t>
      </w:r>
      <w:r>
        <w:rPr>
          <w:rFonts w:ascii="Segoe UI" w:eastAsia="Segoe UI" w:hAnsi="Segoe UI" w:cs="Segoe UI"/>
          <w:color w:val="323130"/>
          <w:sz w:val="24"/>
          <w:szCs w:val="24"/>
        </w:rPr>
        <w:t>and the chairman is happy with. So our response speed, whether it's me or my team has always been there now they're a bit more.</w:t>
      </w:r>
      <w:r>
        <w:rPr>
          <w:rFonts w:ascii="Segoe UI" w:eastAsia="Segoe UI" w:hAnsi="Segoe UI" w:cs="Segoe UI"/>
          <w:color w:val="323130"/>
          <w:sz w:val="24"/>
          <w:szCs w:val="24"/>
        </w:rPr>
        <w:br/>
        <w:t xml:space="preserve">Complex things like </w:t>
      </w:r>
      <w:proofErr w:type="spellStart"/>
      <w:r>
        <w:rPr>
          <w:rFonts w:ascii="Segoe UI" w:eastAsia="Segoe UI" w:hAnsi="Segoe UI" w:cs="Segoe UI"/>
          <w:color w:val="323130"/>
          <w:sz w:val="24"/>
          <w:szCs w:val="24"/>
        </w:rPr>
        <w:t>Talentverse</w:t>
      </w:r>
      <w:proofErr w:type="spellEnd"/>
      <w:r>
        <w:rPr>
          <w:rFonts w:ascii="Segoe UI" w:eastAsia="Segoe UI" w:hAnsi="Segoe UI" w:cs="Segoe UI"/>
          <w:color w:val="323130"/>
          <w:sz w:val="24"/>
          <w:szCs w:val="24"/>
        </w:rPr>
        <w:t xml:space="preserve">. It's no easy task and I need to build this. Ask anyone in tech industry or any industry to build something like this is almost number one. Some people say it's impossible. Number two is I need $100 million in a full time tech </w:t>
      </w:r>
      <w:proofErr w:type="spellStart"/>
      <w:r>
        <w:rPr>
          <w:rFonts w:ascii="Segoe UI" w:eastAsia="Segoe UI" w:hAnsi="Segoe UI" w:cs="Segoe UI"/>
          <w:color w:val="323130"/>
          <w:sz w:val="24"/>
          <w:szCs w:val="24"/>
        </w:rPr>
        <w:t>tech</w:t>
      </w:r>
      <w:proofErr w:type="spellEnd"/>
      <w:r>
        <w:rPr>
          <w:rFonts w:ascii="Segoe UI" w:eastAsia="Segoe UI" w:hAnsi="Segoe UI" w:cs="Segoe UI"/>
          <w:color w:val="323130"/>
          <w:sz w:val="24"/>
          <w:szCs w:val="24"/>
        </w:rPr>
        <w:t xml:space="preserve"> team.</w:t>
      </w:r>
      <w:r>
        <w:rPr>
          <w:rFonts w:ascii="Segoe UI" w:eastAsia="Segoe UI" w:hAnsi="Segoe UI" w:cs="Segoe UI"/>
          <w:color w:val="323130"/>
          <w:sz w:val="24"/>
          <w:szCs w:val="24"/>
        </w:rPr>
        <w:br/>
        <w:t>That investigates the entire organization before we can build or and let alone having to understand measurement of</w:t>
      </w:r>
      <w:r>
        <w:rPr>
          <w:rFonts w:ascii="Segoe UI" w:eastAsia="Segoe UI" w:hAnsi="Segoe UI" w:cs="Segoe UI"/>
          <w:color w:val="323130"/>
          <w:sz w:val="24"/>
          <w:szCs w:val="24"/>
        </w:rPr>
        <w:t xml:space="preserve"> consciousness.</w:t>
      </w:r>
      <w:r>
        <w:rPr>
          <w:rFonts w:ascii="Segoe UI" w:eastAsia="Segoe UI" w:hAnsi="Segoe UI" w:cs="Segoe UI"/>
          <w:color w:val="323130"/>
          <w:sz w:val="24"/>
          <w:szCs w:val="24"/>
        </w:rPr>
        <w:br/>
        <w:t xml:space="preserve">So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degree of challenges that I've been faced with have been exorbitant and not my forte. Mm-hmm. Yeah, not what I was hired for. I understand. Forte wise, you could see that I brought in partners and with </w:t>
      </w:r>
      <w:proofErr w:type="spellStart"/>
      <w:r>
        <w:rPr>
          <w:rFonts w:ascii="Segoe UI" w:eastAsia="Segoe UI" w:hAnsi="Segoe UI" w:cs="Segoe UI"/>
          <w:color w:val="323130"/>
          <w:sz w:val="24"/>
          <w:szCs w:val="24"/>
        </w:rPr>
        <w:t>with</w:t>
      </w:r>
      <w:proofErr w:type="spellEnd"/>
      <w:r>
        <w:rPr>
          <w:rFonts w:ascii="Segoe UI" w:eastAsia="Segoe UI" w:hAnsi="Segoe UI" w:cs="Segoe UI"/>
          <w:color w:val="323130"/>
          <w:sz w:val="24"/>
          <w:szCs w:val="24"/>
        </w:rPr>
        <w:t xml:space="preserve"> Netbook to do it. So I thought I'll just want to share that.</w:t>
      </w:r>
      <w:r>
        <w:rPr>
          <w:rFonts w:ascii="Segoe UI" w:eastAsia="Segoe UI" w:hAnsi="Segoe UI" w:cs="Segoe UI"/>
          <w:color w:val="323130"/>
          <w:sz w:val="24"/>
          <w:szCs w:val="24"/>
        </w:rPr>
        <w:br/>
        <w:t xml:space="preserve">I can do better. I think if the feedback is given to me, I will certainly work on it. So thank you for the feedback. Yeah,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guess then the question is like, you know, you know, what role would you see yourself kind</w:t>
      </w:r>
      <w:r>
        <w:rPr>
          <w:rFonts w:ascii="Segoe UI" w:eastAsia="Segoe UI" w:hAnsi="Segoe UI" w:cs="Segoe UI"/>
          <w:color w:val="323130"/>
          <w:sz w:val="24"/>
          <w:szCs w:val="24"/>
        </w:rPr>
        <w:t xml:space="preserve"> of like, you know, you know, doing, you know, as we move forward. Yeah. Thank you for that.</w:t>
      </w:r>
      <w:r>
        <w:rPr>
          <w:rFonts w:ascii="Segoe UI" w:eastAsia="Segoe UI" w:hAnsi="Segoe UI" w:cs="Segoe UI"/>
          <w:color w:val="323130"/>
          <w:sz w:val="24"/>
          <w:szCs w:val="24"/>
        </w:rPr>
        <w:br/>
        <w:t xml:space="preserve">And I really appreciate that last week when </w:t>
      </w:r>
      <w:proofErr w:type="spellStart"/>
      <w:r>
        <w:rPr>
          <w:rFonts w:ascii="Segoe UI" w:eastAsia="Segoe UI" w:hAnsi="Segoe UI" w:cs="Segoe UI"/>
          <w:color w:val="323130"/>
          <w:sz w:val="24"/>
          <w:szCs w:val="24"/>
        </w:rPr>
        <w:t>when</w:t>
      </w:r>
      <w:proofErr w:type="spellEnd"/>
      <w:r>
        <w:rPr>
          <w:rFonts w:ascii="Segoe UI" w:eastAsia="Segoe UI" w:hAnsi="Segoe UI" w:cs="Segoe UI"/>
          <w:color w:val="323130"/>
          <w:sz w:val="24"/>
          <w:szCs w:val="24"/>
        </w:rPr>
        <w:t xml:space="preserve"> there was that openness of conversation. I think that's something that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wanted to just also document it to say that I really appreciate your leadership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really be so open to this kind of feedback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also to explore how to best use.</w:t>
      </w:r>
      <w:r>
        <w:rPr>
          <w:rFonts w:ascii="Segoe UI" w:eastAsia="Segoe UI" w:hAnsi="Segoe UI" w:cs="Segoe UI"/>
          <w:color w:val="323130"/>
          <w:sz w:val="24"/>
          <w:szCs w:val="24"/>
        </w:rPr>
        <w:br/>
        <w:t>Talents. I texted Chairman because I she said that I need to hear from him. I understand. I understand. Whether she. I full</w:t>
      </w:r>
      <w:r>
        <w:rPr>
          <w:rFonts w:ascii="Segoe UI" w:eastAsia="Segoe UI" w:hAnsi="Segoe UI" w:cs="Segoe UI"/>
          <w:color w:val="323130"/>
          <w:sz w:val="24"/>
          <w:szCs w:val="24"/>
        </w:rPr>
        <w:t>y respect. In fact, no. In fact, I encourage that. You know, for me, you know, I never stop anybody from communicating. He is my. I mean, having that discussion here requires for him to also agree.</w:t>
      </w:r>
      <w:r>
        <w:rPr>
          <w:rFonts w:ascii="Segoe UI" w:eastAsia="Segoe UI" w:hAnsi="Segoe UI" w:cs="Segoe UI"/>
          <w:color w:val="323130"/>
          <w:sz w:val="24"/>
          <w:szCs w:val="24"/>
        </w:rPr>
        <w:br/>
        <w:t xml:space="preserve">Yes. So my </w:t>
      </w:r>
      <w:proofErr w:type="spellStart"/>
      <w:r>
        <w:rPr>
          <w:rFonts w:ascii="Segoe UI" w:eastAsia="Segoe UI" w:hAnsi="Segoe UI" w:cs="Segoe UI"/>
          <w:color w:val="323130"/>
          <w:sz w:val="24"/>
          <w:szCs w:val="24"/>
        </w:rPr>
        <w:t>my</w:t>
      </w:r>
      <w:proofErr w:type="spellEnd"/>
      <w:r>
        <w:rPr>
          <w:rFonts w:ascii="Segoe UI" w:eastAsia="Segoe UI" w:hAnsi="Segoe UI" w:cs="Segoe UI"/>
          <w:color w:val="323130"/>
          <w:sz w:val="24"/>
          <w:szCs w:val="24"/>
        </w:rPr>
        <w:t xml:space="preserve"> one question to him was, do you see a future for me here? Do you see that I can still contribute? That's what I asked him. Yeah, barring all the feedback that you must be receiving about me, the issues that people have highlighted.</w:t>
      </w:r>
      <w:r>
        <w:rPr>
          <w:rFonts w:ascii="Segoe UI" w:eastAsia="Segoe UI" w:hAnsi="Segoe UI" w:cs="Segoe UI"/>
          <w:color w:val="323130"/>
          <w:sz w:val="24"/>
          <w:szCs w:val="24"/>
        </w:rPr>
        <w:br/>
        <w:t xml:space="preserve">I just want to also say that he never reached out to me to find out </w:t>
      </w:r>
      <w:r>
        <w:rPr>
          <w:rFonts w:ascii="Segoe UI" w:eastAsia="Segoe UI" w:hAnsi="Segoe UI" w:cs="Segoe UI"/>
          <w:color w:val="323130"/>
          <w:sz w:val="24"/>
          <w:szCs w:val="24"/>
        </w:rPr>
        <w:t>what those issues were and to hear my side of the story because I, as you were mentioned, there are usually two sides. So it would seem as if he would cling on to what he's heard from somebody else.</w:t>
      </w:r>
      <w:r>
        <w:rPr>
          <w:rFonts w:ascii="Segoe UI" w:eastAsia="Segoe UI" w:hAnsi="Segoe UI" w:cs="Segoe UI"/>
          <w:color w:val="323130"/>
          <w:sz w:val="24"/>
          <w:szCs w:val="24"/>
        </w:rPr>
        <w:br/>
        <w:t>Not needed to verify it with me. His response was that I mean, like what you said, I am not really taking the ED role. Of course I didn't ask why he didn't tell me as well. The second thing he said is.</w:t>
      </w:r>
      <w:r>
        <w:rPr>
          <w:rFonts w:ascii="Segoe UI" w:eastAsia="Segoe UI" w:hAnsi="Segoe UI" w:cs="Segoe UI"/>
          <w:color w:val="323130"/>
          <w:sz w:val="24"/>
          <w:szCs w:val="24"/>
        </w:rPr>
        <w:br/>
        <w:t>And I can read it. Robert is that he also feels that we will not be able to find a role that is suitable for yo</w:t>
      </w:r>
      <w:r>
        <w:rPr>
          <w:rFonts w:ascii="Segoe UI" w:eastAsia="Segoe UI" w:hAnsi="Segoe UI" w:cs="Segoe UI"/>
          <w:color w:val="323130"/>
          <w:sz w:val="24"/>
          <w:szCs w:val="24"/>
        </w:rPr>
        <w:t>ur colleague. He must have attached his response to you, which is also this happening because.</w:t>
      </w:r>
      <w:r>
        <w:rPr>
          <w:rFonts w:ascii="Segoe UI" w:eastAsia="Segoe UI" w:hAnsi="Segoe UI" w:cs="Segoe UI"/>
          <w:color w:val="323130"/>
          <w:sz w:val="24"/>
          <w:szCs w:val="24"/>
        </w:rPr>
        <w:br/>
        <w:t xml:space="preserve">There's no conversation like you are having with me now on what my interests are. Yeah, what am I good at?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then how can I possibly contribute? So my response to him was noted because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kind of note that he's already.</w:t>
      </w:r>
      <w:r>
        <w:rPr>
          <w:rFonts w:ascii="Segoe UI" w:eastAsia="Segoe UI" w:hAnsi="Segoe UI" w:cs="Segoe UI"/>
          <w:color w:val="323130"/>
          <w:sz w:val="24"/>
          <w:szCs w:val="24"/>
        </w:rPr>
        <w:br/>
        <w:t xml:space="preserve">In that insinuated that there's nothing for me here. I mean no acknowledgement also of the contributions, the difficult, challenging task that was set for me, although at MLPI must say this </w:t>
      </w:r>
      <w:r>
        <w:rPr>
          <w:rFonts w:ascii="Segoe UI" w:eastAsia="Segoe UI" w:hAnsi="Segoe UI" w:cs="Segoe UI"/>
          <w:color w:val="323130"/>
          <w:sz w:val="24"/>
          <w:szCs w:val="24"/>
        </w:rPr>
        <w:t>with Doctor Niki present and 45 other.</w:t>
      </w:r>
      <w:r>
        <w:rPr>
          <w:rFonts w:ascii="Segoe UI" w:eastAsia="Segoe UI" w:hAnsi="Segoe UI" w:cs="Segoe UI"/>
          <w:color w:val="323130"/>
          <w:sz w:val="24"/>
          <w:szCs w:val="24"/>
        </w:rPr>
        <w:br/>
        <w:t xml:space="preserve">Of the staff, he did thank me personally for the lunch with Chun </w:t>
      </w:r>
      <w:proofErr w:type="spellStart"/>
      <w:r>
        <w:rPr>
          <w:rFonts w:ascii="Segoe UI" w:eastAsia="Segoe UI" w:hAnsi="Segoe UI" w:cs="Segoe UI"/>
          <w:color w:val="323130"/>
          <w:sz w:val="24"/>
          <w:szCs w:val="24"/>
        </w:rPr>
        <w:t>Chun</w:t>
      </w:r>
      <w:proofErr w:type="spellEnd"/>
      <w:r>
        <w:rPr>
          <w:rFonts w:ascii="Segoe UI" w:eastAsia="Segoe UI" w:hAnsi="Segoe UI" w:cs="Segoe UI"/>
          <w:color w:val="323130"/>
          <w:sz w:val="24"/>
          <w:szCs w:val="24"/>
        </w:rPr>
        <w:t xml:space="preserve"> Sing and for, like when you said, driving to the social transformation project is now it's a small step, but yeah, it went from zero to one, right? Yeah.</w:t>
      </w:r>
      <w:r>
        <w:rPr>
          <w:rFonts w:ascii="Segoe UI" w:eastAsia="Segoe UI" w:hAnsi="Segoe UI" w:cs="Segoe UI"/>
          <w:color w:val="323130"/>
          <w:sz w:val="24"/>
          <w:szCs w:val="24"/>
        </w:rPr>
        <w:br/>
        <w:t xml:space="preserve">That's a that's a usually the hardest step as well. That's the hardest because you're looking really at saying that multiple ministries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a member of parliament is really and willing to contribute. So he did say that that was a large part </w:t>
      </w:r>
      <w:r>
        <w:rPr>
          <w:rFonts w:ascii="Segoe UI" w:eastAsia="Segoe UI" w:hAnsi="Segoe UI" w:cs="Segoe UI"/>
          <w:color w:val="323130"/>
          <w:sz w:val="24"/>
          <w:szCs w:val="24"/>
        </w:rPr>
        <w:t xml:space="preserve">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me, you know.</w:t>
      </w:r>
      <w:r>
        <w:rPr>
          <w:rFonts w:ascii="Segoe UI" w:eastAsia="Segoe UI" w:hAnsi="Segoe UI" w:cs="Segoe UI"/>
          <w:color w:val="323130"/>
          <w:sz w:val="24"/>
          <w:szCs w:val="24"/>
        </w:rPr>
        <w:br/>
        <w:t>In such research thing to follow through, I think that was something he said on the mic at the panel session. So I appreciate him for saying that and for him to see that I have that mindset to follow through as much as it's not easy task.</w:t>
      </w:r>
      <w:r>
        <w:rPr>
          <w:rFonts w:ascii="Segoe UI" w:eastAsia="Segoe UI" w:hAnsi="Segoe UI" w:cs="Segoe UI"/>
          <w:color w:val="323130"/>
          <w:sz w:val="24"/>
          <w:szCs w:val="24"/>
        </w:rPr>
        <w:br/>
        <w:t xml:space="preserve">I would think that I could do the same for other projects within this organization. So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really relish this time that I'm having with you. I've thought through it. In fact, one of the questions you did ask me was are you able to exist, coexist?</w:t>
      </w:r>
      <w:r>
        <w:rPr>
          <w:rFonts w:ascii="Segoe UI" w:eastAsia="Segoe UI" w:hAnsi="Segoe UI" w:cs="Segoe UI"/>
          <w:color w:val="323130"/>
          <w:sz w:val="24"/>
          <w:szCs w:val="24"/>
        </w:rPr>
        <w:br/>
        <w:t>Knowin</w:t>
      </w:r>
      <w:r>
        <w:rPr>
          <w:rFonts w:ascii="Segoe UI" w:eastAsia="Segoe UI" w:hAnsi="Segoe UI" w:cs="Segoe UI"/>
          <w:color w:val="323130"/>
          <w:sz w:val="24"/>
          <w:szCs w:val="24"/>
        </w:rPr>
        <w:t>g that there's something that's, uh, surmounted against me. Um, personally, I think I can, but I'm beginning to feel more and more that it's turned to a personal vendetta to.</w:t>
      </w:r>
      <w:r>
        <w:rPr>
          <w:rFonts w:ascii="Segoe UI" w:eastAsia="Segoe UI" w:hAnsi="Segoe UI" w:cs="Segoe UI"/>
          <w:color w:val="323130"/>
          <w:sz w:val="24"/>
          <w:szCs w:val="24"/>
        </w:rPr>
        <w:br/>
        <w:t>Kind of make my life difficult, which is actually very, very sad, because if it happens to me, it could happen to others. I've seen it happen to my staff. My only regret is I didn't stand up for them as much.</w:t>
      </w:r>
      <w:r>
        <w:rPr>
          <w:rFonts w:ascii="Segoe UI" w:eastAsia="Segoe UI" w:hAnsi="Segoe UI" w:cs="Segoe UI"/>
          <w:color w:val="323130"/>
          <w:sz w:val="24"/>
          <w:szCs w:val="24"/>
        </w:rPr>
        <w:br/>
        <w:t>So to some degree, it's karma. It's retribution for how I didn't defend my staff and I allowed for.</w:t>
      </w:r>
      <w:r>
        <w:rPr>
          <w:rFonts w:ascii="Segoe UI" w:eastAsia="Segoe UI" w:hAnsi="Segoe UI" w:cs="Segoe UI"/>
          <w:color w:val="323130"/>
          <w:sz w:val="24"/>
          <w:szCs w:val="24"/>
        </w:rPr>
        <w:br/>
        <w:t>You know this kind of.</w:t>
      </w:r>
      <w:r>
        <w:rPr>
          <w:rFonts w:ascii="Segoe UI" w:eastAsia="Segoe UI" w:hAnsi="Segoe UI" w:cs="Segoe UI"/>
          <w:color w:val="323130"/>
          <w:sz w:val="24"/>
          <w:szCs w:val="24"/>
        </w:rPr>
        <w:br/>
        <w:t>Amazi</w:t>
      </w:r>
      <w:r>
        <w:rPr>
          <w:rFonts w:ascii="Segoe UI" w:eastAsia="Segoe UI" w:hAnsi="Segoe UI" w:cs="Segoe UI"/>
          <w:color w:val="323130"/>
          <w:sz w:val="24"/>
          <w:szCs w:val="24"/>
        </w:rPr>
        <w:t xml:space="preserve">ng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negative impressions to be placed not just for me, but also to Chairman and then for Chairman to make a decision without </w:t>
      </w:r>
      <w:proofErr w:type="spellStart"/>
      <w:r>
        <w:rPr>
          <w:rFonts w:ascii="Segoe UI" w:eastAsia="Segoe UI" w:hAnsi="Segoe UI" w:cs="Segoe UI"/>
          <w:color w:val="323130"/>
          <w:sz w:val="24"/>
          <w:szCs w:val="24"/>
        </w:rPr>
        <w:t>without</w:t>
      </w:r>
      <w:proofErr w:type="spellEnd"/>
      <w:r>
        <w:rPr>
          <w:rFonts w:ascii="Segoe UI" w:eastAsia="Segoe UI" w:hAnsi="Segoe UI" w:cs="Segoe UI"/>
          <w:color w:val="323130"/>
          <w:sz w:val="24"/>
          <w:szCs w:val="24"/>
        </w:rPr>
        <w:t xml:space="preserve"> clarifying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let them go.</w:t>
      </w:r>
      <w:r>
        <w:rPr>
          <w:rFonts w:ascii="Segoe UI" w:eastAsia="Segoe UI" w:hAnsi="Segoe UI" w:cs="Segoe UI"/>
          <w:color w:val="323130"/>
          <w:sz w:val="24"/>
          <w:szCs w:val="24"/>
        </w:rPr>
        <w:br/>
        <w:t xml:space="preserve">I do believe that this will continue doing will continue to exist with or without me. So for me,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think to answer your question, it will be very, very challenging for me to coexist. So that is set up against me.</w:t>
      </w:r>
      <w:r>
        <w:rPr>
          <w:rFonts w:ascii="Segoe UI" w:eastAsia="Segoe UI" w:hAnsi="Segoe UI" w:cs="Segoe UI"/>
          <w:color w:val="323130"/>
          <w:sz w:val="24"/>
          <w:szCs w:val="24"/>
        </w:rPr>
        <w:br/>
        <w:t>Although having said that, my commitment to the company is still here. The task that you set for me, I've always done my best t</w:t>
      </w:r>
      <w:r>
        <w:rPr>
          <w:rFonts w:ascii="Segoe UI" w:eastAsia="Segoe UI" w:hAnsi="Segoe UI" w:cs="Segoe UI"/>
          <w:color w:val="323130"/>
          <w:sz w:val="24"/>
          <w:szCs w:val="24"/>
        </w:rPr>
        <w:t>o try to deliver. If even if there's no resource internally, we look externally to make it happen and I'm willing to continue to do that if there was a role for me, yeah.</w:t>
      </w:r>
      <w:r>
        <w:rPr>
          <w:rFonts w:ascii="Segoe UI" w:eastAsia="Segoe UI" w:hAnsi="Segoe UI" w:cs="Segoe UI"/>
          <w:color w:val="323130"/>
          <w:sz w:val="24"/>
          <w:szCs w:val="24"/>
        </w:rPr>
        <w:br/>
        <w:t xml:space="preserve">Yeah, so that's where I am. The coexistence will be a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huge challenge, although I am still very much committed to what </w:t>
      </w:r>
      <w:proofErr w:type="spellStart"/>
      <w:r>
        <w:rPr>
          <w:rFonts w:ascii="Segoe UI" w:eastAsia="Segoe UI" w:hAnsi="Segoe UI" w:cs="Segoe UI"/>
          <w:color w:val="323130"/>
          <w:sz w:val="24"/>
          <w:szCs w:val="24"/>
        </w:rPr>
        <w:t>what</w:t>
      </w:r>
      <w:proofErr w:type="spellEnd"/>
      <w:r>
        <w:rPr>
          <w:rFonts w:ascii="Segoe UI" w:eastAsia="Segoe UI" w:hAnsi="Segoe UI" w:cs="Segoe UI"/>
          <w:color w:val="323130"/>
          <w:sz w:val="24"/>
          <w:szCs w:val="24"/>
        </w:rPr>
        <w:t xml:space="preserve"> will be laid out for me.</w:t>
      </w:r>
      <w:r>
        <w:rPr>
          <w:rFonts w:ascii="Segoe UI" w:eastAsia="Segoe UI" w:hAnsi="Segoe UI" w:cs="Segoe UI"/>
          <w:color w:val="323130"/>
          <w:sz w:val="24"/>
          <w:szCs w:val="24"/>
        </w:rPr>
        <w:br/>
        <w:t>I hear the restructuring, which also means that the role will be much smaller. Am I prepared for something like that? I think I've seen it happen with others where this is very much a part of</w:t>
      </w:r>
      <w:r>
        <w:rPr>
          <w:rFonts w:ascii="Segoe UI" w:eastAsia="Segoe UI" w:hAnsi="Segoe UI" w:cs="Segoe UI"/>
          <w:color w:val="323130"/>
          <w:sz w:val="24"/>
          <w:szCs w:val="24"/>
        </w:rPr>
        <w:t xml:space="preserve"> the.</w:t>
      </w:r>
      <w:r>
        <w:rPr>
          <w:rFonts w:ascii="Segoe UI" w:eastAsia="Segoe UI" w:hAnsi="Segoe UI" w:cs="Segoe UI"/>
          <w:color w:val="323130"/>
          <w:sz w:val="24"/>
          <w:szCs w:val="24"/>
        </w:rPr>
        <w:br/>
        <w:t xml:space="preserve">Restructuring. So I think this is something that I need to be open and aware to. So this is where. OK, OK. So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guess you know from what I'm hearing, you know, yes, you know, despite the, you know, the, the, the, the, the challenge.</w:t>
      </w:r>
      <w:r>
        <w:rPr>
          <w:rFonts w:ascii="Segoe UI" w:eastAsia="Segoe UI" w:hAnsi="Segoe UI" w:cs="Segoe UI"/>
          <w:color w:val="323130"/>
          <w:sz w:val="24"/>
          <w:szCs w:val="24"/>
        </w:rPr>
        <w:br/>
        <w:t xml:space="preserve">That you see in terms of the coexistence itself, you're still open minded. You know, if I can work out something for you, is that correct? You know, I mean that would be and it may be. I'm to hell. These things didn't just happen, right? It's happened over some time. </w:t>
      </w:r>
      <w:r>
        <w:rPr>
          <w:rFonts w:ascii="Segoe UI" w:eastAsia="Segoe UI" w:hAnsi="Segoe UI" w:cs="Segoe UI"/>
          <w:color w:val="323130"/>
          <w:sz w:val="24"/>
          <w:szCs w:val="24"/>
        </w:rPr>
        <w:t>Yes. Yeah, it's been unsettling, but I've been dealing with it and you can see that I've been very.</w:t>
      </w:r>
      <w:r>
        <w:rPr>
          <w:rFonts w:ascii="Segoe UI" w:eastAsia="Segoe UI" w:hAnsi="Segoe UI" w:cs="Segoe UI"/>
          <w:color w:val="323130"/>
          <w:sz w:val="24"/>
          <w:szCs w:val="24"/>
        </w:rPr>
        <w:br/>
        <w:t xml:space="preserve">Professional and follow up whatever I'm expected to follow up on. Yeah. So </w:t>
      </w:r>
      <w:proofErr w:type="spellStart"/>
      <w:r>
        <w:rPr>
          <w:rFonts w:ascii="Segoe UI" w:eastAsia="Segoe UI" w:hAnsi="Segoe UI" w:cs="Segoe UI"/>
          <w:color w:val="323130"/>
          <w:sz w:val="24"/>
          <w:szCs w:val="24"/>
        </w:rPr>
        <w:t>so</w:t>
      </w:r>
      <w:proofErr w:type="spellEnd"/>
      <w:r>
        <w:rPr>
          <w:rFonts w:ascii="Segoe UI" w:eastAsia="Segoe UI" w:hAnsi="Segoe UI" w:cs="Segoe UI"/>
          <w:color w:val="323130"/>
          <w:sz w:val="24"/>
          <w:szCs w:val="24"/>
        </w:rPr>
        <w:t xml:space="preserve"> maybe </w:t>
      </w:r>
      <w:proofErr w:type="spellStart"/>
      <w:r>
        <w:rPr>
          <w:rFonts w:ascii="Segoe UI" w:eastAsia="Segoe UI" w:hAnsi="Segoe UI" w:cs="Segoe UI"/>
          <w:color w:val="323130"/>
          <w:sz w:val="24"/>
          <w:szCs w:val="24"/>
        </w:rPr>
        <w:t>maybe</w:t>
      </w:r>
      <w:proofErr w:type="spellEnd"/>
      <w:r>
        <w:rPr>
          <w:rFonts w:ascii="Segoe UI" w:eastAsia="Segoe UI" w:hAnsi="Segoe UI" w:cs="Segoe UI"/>
          <w:color w:val="323130"/>
          <w:sz w:val="24"/>
          <w:szCs w:val="24"/>
        </w:rPr>
        <w:t xml:space="preserve"> you know as a follow up you know let </w:t>
      </w:r>
      <w:proofErr w:type="spellStart"/>
      <w:r>
        <w:rPr>
          <w:rFonts w:ascii="Segoe UI" w:eastAsia="Segoe UI" w:hAnsi="Segoe UI" w:cs="Segoe UI"/>
          <w:color w:val="323130"/>
          <w:sz w:val="24"/>
          <w:szCs w:val="24"/>
        </w:rPr>
        <w:t>let</w:t>
      </w:r>
      <w:proofErr w:type="spellEnd"/>
      <w:r>
        <w:rPr>
          <w:rFonts w:ascii="Segoe UI" w:eastAsia="Segoe UI" w:hAnsi="Segoe UI" w:cs="Segoe UI"/>
          <w:color w:val="323130"/>
          <w:sz w:val="24"/>
          <w:szCs w:val="24"/>
        </w:rPr>
        <w:t xml:space="preserve"> me work out something like you know because I mean like you know and these are just my thoughts that I'm you know.</w:t>
      </w:r>
      <w:r>
        <w:rPr>
          <w:rFonts w:ascii="Segoe UI" w:eastAsia="Segoe UI" w:hAnsi="Segoe UI" w:cs="Segoe UI"/>
          <w:color w:val="323130"/>
          <w:sz w:val="24"/>
          <w:szCs w:val="24"/>
        </w:rPr>
        <w:br/>
        <w:t>I'm, I'm, I'm, I'm just throwing out right now. You know, of course, you know, I think we, you know at the beginning I did mention the STB project is something that I</w:t>
      </w:r>
      <w:r>
        <w:rPr>
          <w:rFonts w:ascii="Segoe UI" w:eastAsia="Segoe UI" w:hAnsi="Segoe UI" w:cs="Segoe UI"/>
          <w:color w:val="323130"/>
          <w:sz w:val="24"/>
          <w:szCs w:val="24"/>
        </w:rPr>
        <w:t xml:space="preserve"> think you can actually kind of like you know, still continue to contribute on of course you know in terms of like you know the overlap of the potential.</w:t>
      </w:r>
      <w:r>
        <w:rPr>
          <w:rFonts w:ascii="Segoe UI" w:eastAsia="Segoe UI" w:hAnsi="Segoe UI" w:cs="Segoe UI"/>
          <w:color w:val="323130"/>
          <w:sz w:val="24"/>
          <w:szCs w:val="24"/>
        </w:rPr>
        <w:br/>
        <w:t xml:space="preserve">conflict, you know, there will be some, but I think that one is maybe a little bit more isolated in terms of like,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project at the VOPR itself, you know, you know, in in terms of like you know how </w:t>
      </w:r>
      <w:proofErr w:type="spellStart"/>
      <w:r>
        <w:rPr>
          <w:rFonts w:ascii="Segoe UI" w:eastAsia="Segoe UI" w:hAnsi="Segoe UI" w:cs="Segoe UI"/>
          <w:color w:val="323130"/>
          <w:sz w:val="24"/>
          <w:szCs w:val="24"/>
        </w:rPr>
        <w:t>how</w:t>
      </w:r>
      <w:proofErr w:type="spellEnd"/>
      <w:r>
        <w:rPr>
          <w:rFonts w:ascii="Segoe UI" w:eastAsia="Segoe UI" w:hAnsi="Segoe UI" w:cs="Segoe UI"/>
          <w:color w:val="323130"/>
          <w:sz w:val="24"/>
          <w:szCs w:val="24"/>
        </w:rPr>
        <w:t xml:space="preserve"> we actually deliver. Second thing is, you know,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would still say that, you know.</w:t>
      </w:r>
      <w:r>
        <w:rPr>
          <w:rFonts w:ascii="Segoe UI" w:eastAsia="Segoe UI" w:hAnsi="Segoe UI" w:cs="Segoe UI"/>
          <w:color w:val="323130"/>
          <w:sz w:val="24"/>
          <w:szCs w:val="24"/>
        </w:rPr>
        <w:br/>
        <w:t xml:space="preserve">You know perhaps on the AI transformation aspect of </w:t>
      </w:r>
      <w:r>
        <w:rPr>
          <w:rFonts w:ascii="Segoe UI" w:eastAsia="Segoe UI" w:hAnsi="Segoe UI" w:cs="Segoe UI"/>
          <w:color w:val="323130"/>
          <w:sz w:val="24"/>
          <w:szCs w:val="24"/>
        </w:rPr>
        <w:t xml:space="preserve">it, you know I think you can still be what I view as </w:t>
      </w:r>
      <w:proofErr w:type="spellStart"/>
      <w:r>
        <w:rPr>
          <w:rFonts w:ascii="Segoe UI" w:eastAsia="Segoe UI" w:hAnsi="Segoe UI" w:cs="Segoe UI"/>
          <w:color w:val="323130"/>
          <w:sz w:val="24"/>
          <w:szCs w:val="24"/>
        </w:rPr>
        <w:t>a</w:t>
      </w:r>
      <w:proofErr w:type="spellEnd"/>
      <w:r>
        <w:rPr>
          <w:rFonts w:ascii="Segoe UI" w:eastAsia="Segoe UI" w:hAnsi="Segoe UI" w:cs="Segoe UI"/>
          <w:color w:val="323130"/>
          <w:sz w:val="24"/>
          <w:szCs w:val="24"/>
        </w:rPr>
        <w:t xml:space="preserve"> advisor or consultant even on that because I think you have the you have the knowledge you know since the beginning the 4D to the talent verse and of course now we have the investment trackers 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so and so forth and so.</w:t>
      </w:r>
      <w:r>
        <w:rPr>
          <w:rFonts w:ascii="Segoe UI" w:eastAsia="Segoe UI" w:hAnsi="Segoe UI" w:cs="Segoe UI"/>
          <w:color w:val="323130"/>
          <w:sz w:val="24"/>
          <w:szCs w:val="24"/>
        </w:rPr>
        <w:br/>
        <w:t>And as we said at the beginning, I think that AI transformation is more than just a digital transformation, it's actually a mindset shift itself. And that part of it, I would say that we probably will still need, you know, an ex</w:t>
      </w:r>
      <w:r>
        <w:rPr>
          <w:rFonts w:ascii="Segoe UI" w:eastAsia="Segoe UI" w:hAnsi="Segoe UI" w:cs="Segoe UI"/>
          <w:color w:val="323130"/>
          <w:sz w:val="24"/>
          <w:szCs w:val="24"/>
        </w:rPr>
        <w:t>ponent in this space, you know, because you know, I think last week you mentioned that you know you do strongly.</w:t>
      </w:r>
      <w:r>
        <w:rPr>
          <w:rFonts w:ascii="Segoe UI" w:eastAsia="Segoe UI" w:hAnsi="Segoe UI" w:cs="Segoe UI"/>
          <w:color w:val="323130"/>
          <w:sz w:val="24"/>
          <w:szCs w:val="24"/>
        </w:rPr>
        <w:br/>
        <w:t>We believe about the, the, the, the, the shift in consciousness itself, you know, and this is actually 1 aspect of how we can actually help people shift consciousness itself. So perhaps in terms of the scope, you know, I'm thinking, you know, probably in this space, you know, you know.</w:t>
      </w:r>
      <w:r>
        <w:rPr>
          <w:rFonts w:ascii="Segoe UI" w:eastAsia="Segoe UI" w:hAnsi="Segoe UI" w:cs="Segoe UI"/>
          <w:color w:val="323130"/>
          <w:sz w:val="24"/>
          <w:szCs w:val="24"/>
        </w:rPr>
        <w:br/>
        <w:t xml:space="preserve">And also I think it also take the pressure off, you know because you know on the of course on the on the on the </w:t>
      </w:r>
      <w:r>
        <w:rPr>
          <w:rFonts w:ascii="Segoe UI" w:eastAsia="Segoe UI" w:hAnsi="Segoe UI" w:cs="Segoe UI"/>
          <w:color w:val="323130"/>
          <w:sz w:val="24"/>
          <w:szCs w:val="24"/>
        </w:rPr>
        <w:t>on the social transformation project, you know where there is less kind of like you know overlap in terms of conflict, you know perhaps there's something that you know you can you can actually kind of like help drive the project itself.</w:t>
      </w:r>
      <w:r>
        <w:rPr>
          <w:rFonts w:ascii="Segoe UI" w:eastAsia="Segoe UI" w:hAnsi="Segoe UI" w:cs="Segoe UI"/>
          <w:color w:val="323130"/>
          <w:sz w:val="24"/>
          <w:szCs w:val="24"/>
        </w:rPr>
        <w:br/>
        <w:t>Whereas on the AI part of it, you know we can be a supporter on this project because I think you know and I also want to get you know I would say the business leaders themselves to be kind of like you know leading and driving you know because I think you've been you know pus</w:t>
      </w:r>
      <w:r>
        <w:rPr>
          <w:rFonts w:ascii="Segoe UI" w:eastAsia="Segoe UI" w:hAnsi="Segoe UI" w:cs="Segoe UI"/>
          <w:color w:val="323130"/>
          <w:sz w:val="24"/>
          <w:szCs w:val="24"/>
        </w:rPr>
        <w:t>hing the project from behind itself whereas you know somebody has needs to be a clear kind of like leading and.</w:t>
      </w:r>
      <w:r>
        <w:rPr>
          <w:rFonts w:ascii="Segoe UI" w:eastAsia="Segoe UI" w:hAnsi="Segoe UI" w:cs="Segoe UI"/>
          <w:color w:val="323130"/>
          <w:sz w:val="24"/>
          <w:szCs w:val="24"/>
        </w:rPr>
        <w:br/>
        <w:t>Pulling from the front and stuff. So I think, I think perhaps this part, you know, so instead of like you pushing from behind, you know, you could actually be on the side to actually guide the guy in the front to say, can you move forward faster or whatever stuff is up. So I would say that, you know, maybe the scope, you know, can be at least, you know, structured.</w:t>
      </w:r>
      <w:r>
        <w:rPr>
          <w:rFonts w:ascii="Segoe UI" w:eastAsia="Segoe UI" w:hAnsi="Segoe UI" w:cs="Segoe UI"/>
          <w:color w:val="323130"/>
          <w:sz w:val="24"/>
          <w:szCs w:val="24"/>
        </w:rPr>
        <w:br/>
        <w:t>Or limited to this to first as a</w:t>
      </w:r>
      <w:r>
        <w:rPr>
          <w:rFonts w:ascii="Segoe UI" w:eastAsia="Segoe UI" w:hAnsi="Segoe UI" w:cs="Segoe UI"/>
          <w:color w:val="323130"/>
          <w:sz w:val="24"/>
          <w:szCs w:val="24"/>
        </w:rPr>
        <w:t xml:space="preserve"> as a onset, you know and like I said, I'm just trying, I'm just kind of throwing out ideas first, whether of course you know Fred or Chairman agrees or disagree and all and also of course you know how </w:t>
      </w:r>
      <w:proofErr w:type="spellStart"/>
      <w:r>
        <w:rPr>
          <w:rFonts w:ascii="Segoe UI" w:eastAsia="Segoe UI" w:hAnsi="Segoe UI" w:cs="Segoe UI"/>
          <w:color w:val="323130"/>
          <w:sz w:val="24"/>
          <w:szCs w:val="24"/>
        </w:rPr>
        <w:t>Shabreen</w:t>
      </w:r>
      <w:proofErr w:type="spellEnd"/>
      <w:r>
        <w:rPr>
          <w:rFonts w:ascii="Segoe UI" w:eastAsia="Segoe UI" w:hAnsi="Segoe UI" w:cs="Segoe UI"/>
          <w:color w:val="323130"/>
          <w:sz w:val="24"/>
          <w:szCs w:val="24"/>
        </w:rPr>
        <w:t xml:space="preserve"> also would take it as a.</w:t>
      </w:r>
      <w:r>
        <w:rPr>
          <w:rFonts w:ascii="Segoe UI" w:eastAsia="Segoe UI" w:hAnsi="Segoe UI" w:cs="Segoe UI"/>
          <w:color w:val="323130"/>
          <w:sz w:val="24"/>
          <w:szCs w:val="24"/>
        </w:rPr>
        <w:br/>
        <w:t xml:space="preserve">Potential partner, I don't know yet at this point and I need to talk to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to</w:t>
      </w:r>
      <w:proofErr w:type="spellEnd"/>
      <w:r>
        <w:rPr>
          <w:rFonts w:ascii="Segoe UI" w:eastAsia="Segoe UI" w:hAnsi="Segoe UI" w:cs="Segoe UI"/>
          <w:color w:val="323130"/>
          <w:sz w:val="24"/>
          <w:szCs w:val="24"/>
        </w:rPr>
        <w:t xml:space="preserve"> both of them as well. But you know it will be something that I would try to push an offer, you know and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mean I've seen Fred's whatever.</w:t>
      </w:r>
      <w:r>
        <w:rPr>
          <w:rFonts w:ascii="Segoe UI" w:eastAsia="Segoe UI" w:hAnsi="Segoe UI" w:cs="Segoe UI"/>
          <w:color w:val="323130"/>
          <w:sz w:val="24"/>
          <w:szCs w:val="24"/>
        </w:rPr>
        <w:br/>
        <w:t>You know, you know, WeChat and all that reaching forwarded</w:t>
      </w:r>
      <w:r>
        <w:rPr>
          <w:rFonts w:ascii="Segoe UI" w:eastAsia="Segoe UI" w:hAnsi="Segoe UI" w:cs="Segoe UI"/>
          <w:color w:val="323130"/>
          <w:sz w:val="24"/>
          <w:szCs w:val="24"/>
        </w:rPr>
        <w:t xml:space="preserve"> to me. But you know, I think having said that, I also agree with you, it needs to be fair that you know he at least needs to have the chat with you and that's something that.</w:t>
      </w:r>
      <w:r>
        <w:rPr>
          <w:rFonts w:ascii="Segoe UI" w:eastAsia="Segoe UI" w:hAnsi="Segoe UI" w:cs="Segoe UI"/>
          <w:color w:val="323130"/>
          <w:sz w:val="24"/>
          <w:szCs w:val="24"/>
        </w:rPr>
        <w:br/>
        <w:t xml:space="preserve">Let me talk to him, you know, but I think it'll be good, you know, also for you to actually have when he's back face to face, you know, in </w:t>
      </w:r>
      <w:proofErr w:type="spellStart"/>
      <w:r>
        <w:rPr>
          <w:rFonts w:ascii="Segoe UI" w:eastAsia="Segoe UI" w:hAnsi="Segoe UI" w:cs="Segoe UI"/>
          <w:color w:val="323130"/>
          <w:sz w:val="24"/>
          <w:szCs w:val="24"/>
        </w:rPr>
        <w:t>mid November</w:t>
      </w:r>
      <w:proofErr w:type="spellEnd"/>
      <w:r>
        <w:rPr>
          <w:rFonts w:ascii="Segoe UI" w:eastAsia="Segoe UI" w:hAnsi="Segoe UI" w:cs="Segoe UI"/>
          <w:color w:val="323130"/>
          <w:sz w:val="24"/>
          <w:szCs w:val="24"/>
        </w:rPr>
        <w:t xml:space="preserve"> or whatever stuff itself to basically kind of like, you know, maybe, you know, have that conversation also with him as well. And then you know, perhaps we can finalize, you know, whate</w:t>
      </w:r>
      <w:r>
        <w:rPr>
          <w:rFonts w:ascii="Segoe UI" w:eastAsia="Segoe UI" w:hAnsi="Segoe UI" w:cs="Segoe UI"/>
          <w:color w:val="323130"/>
          <w:sz w:val="24"/>
          <w:szCs w:val="24"/>
        </w:rPr>
        <w:t xml:space="preserve">ver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w:t>
      </w:r>
      <w:r>
        <w:rPr>
          <w:rFonts w:ascii="Segoe UI" w:eastAsia="Segoe UI" w:hAnsi="Segoe UI" w:cs="Segoe UI"/>
          <w:color w:val="323130"/>
          <w:sz w:val="24"/>
          <w:szCs w:val="24"/>
        </w:rPr>
        <w:br/>
        <w:t>The, the, the going forward direction would be, you know, post that because I think I think that's, but I think like you said, you know it will mean a significant kind of like you know, reduction in the rule, you know, which also means a reduction in the package, you know.</w:t>
      </w:r>
      <w:r>
        <w:rPr>
          <w:rFonts w:ascii="Segoe UI" w:eastAsia="Segoe UI" w:hAnsi="Segoe UI" w:cs="Segoe UI"/>
          <w:color w:val="323130"/>
          <w:sz w:val="24"/>
          <w:szCs w:val="24"/>
        </w:rPr>
        <w:br/>
        <w:t xml:space="preserve">You know, we could also put you on contract as well. We might, you know, and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think you've seen all this before, you know. So I don't think it comes to you as a surprise, but at least you know, you know we </w:t>
      </w:r>
      <w:proofErr w:type="spellStart"/>
      <w:r>
        <w:rPr>
          <w:rFonts w:ascii="Segoe UI" w:eastAsia="Segoe UI" w:hAnsi="Segoe UI" w:cs="Segoe UI"/>
          <w:color w:val="323130"/>
          <w:sz w:val="24"/>
          <w:szCs w:val="24"/>
        </w:rPr>
        <w:t>we</w:t>
      </w:r>
      <w:proofErr w:type="spellEnd"/>
      <w:r>
        <w:rPr>
          <w:rFonts w:ascii="Segoe UI" w:eastAsia="Segoe UI" w:hAnsi="Segoe UI" w:cs="Segoe UI"/>
          <w:color w:val="323130"/>
          <w:sz w:val="24"/>
          <w:szCs w:val="24"/>
        </w:rPr>
        <w:t xml:space="preserve"> try to kind o</w:t>
      </w:r>
      <w:r>
        <w:rPr>
          <w:rFonts w:ascii="Segoe UI" w:eastAsia="Segoe UI" w:hAnsi="Segoe UI" w:cs="Segoe UI"/>
          <w:color w:val="323130"/>
          <w:sz w:val="24"/>
          <w:szCs w:val="24"/>
        </w:rPr>
        <w:t>f like, you know.</w:t>
      </w:r>
      <w:r>
        <w:rPr>
          <w:rFonts w:ascii="Segoe UI" w:eastAsia="Segoe UI" w:hAnsi="Segoe UI" w:cs="Segoe UI"/>
          <w:color w:val="323130"/>
          <w:sz w:val="24"/>
          <w:szCs w:val="24"/>
        </w:rPr>
        <w:br/>
        <w:t xml:space="preserve">Utilize, you know, capitalize on your skill sets, you know, for which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think this in these two areas, you know, you've actually proven that you know there is actually a track record.</w:t>
      </w:r>
      <w:r>
        <w:rPr>
          <w:rFonts w:ascii="Segoe UI" w:eastAsia="Segoe UI" w:hAnsi="Segoe UI" w:cs="Segoe UI"/>
          <w:color w:val="323130"/>
          <w:sz w:val="24"/>
          <w:szCs w:val="24"/>
        </w:rPr>
        <w:br/>
        <w:t xml:space="preserve">OK. Thank you. Thank you for that. Yeah, I, I, I, I embrace everything that you've just said and you know and I'll work towards that. Yeah. So again, I think you know that's let </w:t>
      </w:r>
      <w:proofErr w:type="spellStart"/>
      <w:r>
        <w:rPr>
          <w:rFonts w:ascii="Segoe UI" w:eastAsia="Segoe UI" w:hAnsi="Segoe UI" w:cs="Segoe UI"/>
          <w:color w:val="323130"/>
          <w:sz w:val="24"/>
          <w:szCs w:val="24"/>
        </w:rPr>
        <w:t>let</w:t>
      </w:r>
      <w:proofErr w:type="spellEnd"/>
      <w:r>
        <w:rPr>
          <w:rFonts w:ascii="Segoe UI" w:eastAsia="Segoe UI" w:hAnsi="Segoe UI" w:cs="Segoe UI"/>
          <w:color w:val="323130"/>
          <w:sz w:val="24"/>
          <w:szCs w:val="24"/>
        </w:rPr>
        <w:t xml:space="preserve"> me let me talk to them. I'll work out something. You know Shireen I think is on leave this week. Yes. You know and then she'll</w:t>
      </w:r>
      <w:r>
        <w:rPr>
          <w:rFonts w:ascii="Segoe UI" w:eastAsia="Segoe UI" w:hAnsi="Segoe UI" w:cs="Segoe UI"/>
          <w:color w:val="323130"/>
          <w:sz w:val="24"/>
          <w:szCs w:val="24"/>
        </w:rPr>
        <w:t xml:space="preserve"> sign next week. Let me talk to her then.</w:t>
      </w:r>
      <w:r>
        <w:rPr>
          <w:rFonts w:ascii="Segoe UI" w:eastAsia="Segoe UI" w:hAnsi="Segoe UI" w:cs="Segoe UI"/>
          <w:color w:val="323130"/>
          <w:sz w:val="24"/>
          <w:szCs w:val="24"/>
        </w:rPr>
        <w:br/>
        <w:t xml:space="preserve">I'm </w:t>
      </w:r>
      <w:proofErr w:type="spellStart"/>
      <w:r>
        <w:rPr>
          <w:rFonts w:ascii="Segoe UI" w:eastAsia="Segoe UI" w:hAnsi="Segoe UI" w:cs="Segoe UI"/>
          <w:color w:val="323130"/>
          <w:sz w:val="24"/>
          <w:szCs w:val="24"/>
        </w:rPr>
        <w:t>gonna</w:t>
      </w:r>
      <w:proofErr w:type="spellEnd"/>
      <w:r>
        <w:rPr>
          <w:rFonts w:ascii="Segoe UI" w:eastAsia="Segoe UI" w:hAnsi="Segoe UI" w:cs="Segoe UI"/>
          <w:color w:val="323130"/>
          <w:sz w:val="24"/>
          <w:szCs w:val="24"/>
        </w:rPr>
        <w:t xml:space="preserve"> forward something to Fred, you know, next week and see whether you know he can wait until you know you he comes back in </w:t>
      </w:r>
      <w:proofErr w:type="spellStart"/>
      <w:r>
        <w:rPr>
          <w:rFonts w:ascii="Segoe UI" w:eastAsia="Segoe UI" w:hAnsi="Segoe UI" w:cs="Segoe UI"/>
          <w:color w:val="323130"/>
          <w:sz w:val="24"/>
          <w:szCs w:val="24"/>
        </w:rPr>
        <w:t>mid November</w:t>
      </w:r>
      <w:proofErr w:type="spellEnd"/>
      <w:r>
        <w:rPr>
          <w:rFonts w:ascii="Segoe UI" w:eastAsia="Segoe UI" w:hAnsi="Segoe UI" w:cs="Segoe UI"/>
          <w:color w:val="323130"/>
          <w:sz w:val="24"/>
          <w:szCs w:val="24"/>
        </w:rPr>
        <w:t xml:space="preserve"> to have to chat with you and you know. But in the meantime before that I will, you know, if he's OK with kind of like you know the my proposal, then I'll talk to you even before he comes back. But I think it's still good.</w:t>
      </w:r>
      <w:r>
        <w:rPr>
          <w:rFonts w:ascii="Segoe UI" w:eastAsia="Segoe UI" w:hAnsi="Segoe UI" w:cs="Segoe UI"/>
          <w:color w:val="323130"/>
          <w:sz w:val="24"/>
          <w:szCs w:val="24"/>
        </w:rPr>
        <w:br/>
        <w:t xml:space="preserve">For you to have that conversation regardless, I think so whether it changes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equation or not, </w:t>
      </w:r>
      <w:r>
        <w:rPr>
          <w:rFonts w:ascii="Segoe UI" w:eastAsia="Segoe UI" w:hAnsi="Segoe UI" w:cs="Segoe UI"/>
          <w:color w:val="323130"/>
          <w:sz w:val="24"/>
          <w:szCs w:val="24"/>
        </w:rPr>
        <w:t>it doesn't matter because it's just more that you know, like you said, you know for you to actually have that access, you know so that you know he can gear up, you know, whether it, like I said, whether it changes the decision and.</w:t>
      </w:r>
      <w:r>
        <w:rPr>
          <w:rFonts w:ascii="Segoe UI" w:eastAsia="Segoe UI" w:hAnsi="Segoe UI" w:cs="Segoe UI"/>
          <w:color w:val="323130"/>
          <w:sz w:val="24"/>
          <w:szCs w:val="24"/>
        </w:rPr>
        <w:br/>
        <w:t xml:space="preserve">You know, it's </w:t>
      </w:r>
      <w:proofErr w:type="spellStart"/>
      <w:r>
        <w:rPr>
          <w:rFonts w:ascii="Segoe UI" w:eastAsia="Segoe UI" w:hAnsi="Segoe UI" w:cs="Segoe UI"/>
          <w:color w:val="323130"/>
          <w:sz w:val="24"/>
          <w:szCs w:val="24"/>
        </w:rPr>
        <w:t>it's</w:t>
      </w:r>
      <w:proofErr w:type="spellEnd"/>
      <w:r>
        <w:rPr>
          <w:rFonts w:ascii="Segoe UI" w:eastAsia="Segoe UI" w:hAnsi="Segoe UI" w:cs="Segoe UI"/>
          <w:color w:val="323130"/>
          <w:sz w:val="24"/>
          <w:szCs w:val="24"/>
        </w:rPr>
        <w:t xml:space="preserve"> a secondary matter. You're right. I </w:t>
      </w:r>
      <w:proofErr w:type="spellStart"/>
      <w:r>
        <w:rPr>
          <w:rFonts w:ascii="Segoe UI" w:eastAsia="Segoe UI" w:hAnsi="Segoe UI" w:cs="Segoe UI"/>
          <w:color w:val="323130"/>
          <w:sz w:val="24"/>
          <w:szCs w:val="24"/>
        </w:rPr>
        <w:t>I</w:t>
      </w:r>
      <w:proofErr w:type="spellEnd"/>
      <w:r>
        <w:rPr>
          <w:rFonts w:ascii="Segoe UI" w:eastAsia="Segoe UI" w:hAnsi="Segoe UI" w:cs="Segoe UI"/>
          <w:color w:val="323130"/>
          <w:sz w:val="24"/>
          <w:szCs w:val="24"/>
        </w:rPr>
        <w:t xml:space="preserve"> also believe that what however this pans out that it's important that the that the foundation is </w:t>
      </w:r>
      <w:proofErr w:type="spellStart"/>
      <w:r>
        <w:rPr>
          <w:rFonts w:ascii="Segoe UI" w:eastAsia="Segoe UI" w:hAnsi="Segoe UI" w:cs="Segoe UI"/>
          <w:color w:val="323130"/>
          <w:sz w:val="24"/>
          <w:szCs w:val="24"/>
        </w:rPr>
        <w:t>is</w:t>
      </w:r>
      <w:proofErr w:type="spellEnd"/>
      <w:r>
        <w:rPr>
          <w:rFonts w:ascii="Segoe UI" w:eastAsia="Segoe UI" w:hAnsi="Segoe UI" w:cs="Segoe UI"/>
          <w:color w:val="323130"/>
          <w:sz w:val="24"/>
          <w:szCs w:val="24"/>
        </w:rPr>
        <w:t xml:space="preserve"> still the relationship. Yeah, of course, of course, yeah. I mean, you know, even if we don't continue here, we will in lif</w:t>
      </w:r>
      <w:r>
        <w:rPr>
          <w:rFonts w:ascii="Segoe UI" w:eastAsia="Segoe UI" w:hAnsi="Segoe UI" w:cs="Segoe UI"/>
          <w:color w:val="323130"/>
          <w:sz w:val="24"/>
          <w:szCs w:val="24"/>
        </w:rPr>
        <w:t>e, you know.</w:t>
      </w:r>
      <w:r>
        <w:rPr>
          <w:rFonts w:ascii="Segoe UI" w:eastAsia="Segoe UI" w:hAnsi="Segoe UI" w:cs="Segoe UI"/>
          <w:color w:val="323130"/>
          <w:sz w:val="24"/>
          <w:szCs w:val="24"/>
        </w:rPr>
        <w:br/>
        <w:t xml:space="preserve">The relationship, yeah, I know it continues forward like you know, I mean like I I've always believed in that as all and you know, you know, you know the </w:t>
      </w:r>
      <w:proofErr w:type="spellStart"/>
      <w:r>
        <w:rPr>
          <w:rFonts w:ascii="Segoe UI" w:eastAsia="Segoe UI" w:hAnsi="Segoe UI" w:cs="Segoe UI"/>
          <w:color w:val="323130"/>
          <w:sz w:val="24"/>
          <w:szCs w:val="24"/>
        </w:rPr>
        <w:t>the</w:t>
      </w:r>
      <w:proofErr w:type="spellEnd"/>
      <w:r>
        <w:rPr>
          <w:rFonts w:ascii="Segoe UI" w:eastAsia="Segoe UI" w:hAnsi="Segoe UI" w:cs="Segoe UI"/>
          <w:color w:val="323130"/>
          <w:sz w:val="24"/>
          <w:szCs w:val="24"/>
        </w:rPr>
        <w:t xml:space="preserve">, the, the your </w:t>
      </w:r>
      <w:proofErr w:type="spellStart"/>
      <w:r>
        <w:rPr>
          <w:rFonts w:ascii="Segoe UI" w:eastAsia="Segoe UI" w:hAnsi="Segoe UI" w:cs="Segoe UI"/>
          <w:color w:val="323130"/>
          <w:sz w:val="24"/>
          <w:szCs w:val="24"/>
        </w:rPr>
        <w:t>your</w:t>
      </w:r>
      <w:proofErr w:type="spellEnd"/>
      <w:r>
        <w:rPr>
          <w:rFonts w:ascii="Segoe UI" w:eastAsia="Segoe UI" w:hAnsi="Segoe UI" w:cs="Segoe UI"/>
          <w:color w:val="323130"/>
          <w:sz w:val="24"/>
          <w:szCs w:val="24"/>
        </w:rPr>
        <w:t xml:space="preserve"> work relationship, you know, is just a very small component of the entire life's relationship and.</w:t>
      </w:r>
      <w:r>
        <w:rPr>
          <w:rFonts w:ascii="Segoe UI" w:eastAsia="Segoe UI" w:hAnsi="Segoe UI" w:cs="Segoe UI"/>
          <w:color w:val="323130"/>
          <w:sz w:val="24"/>
          <w:szCs w:val="24"/>
        </w:rPr>
        <w:br/>
        <w:t xml:space="preserve">And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w:t>
      </w:r>
      <w:proofErr w:type="spellStart"/>
      <w:r>
        <w:rPr>
          <w:rFonts w:ascii="Segoe UI" w:eastAsia="Segoe UI" w:hAnsi="Segoe UI" w:cs="Segoe UI"/>
          <w:color w:val="323130"/>
          <w:sz w:val="24"/>
          <w:szCs w:val="24"/>
        </w:rPr>
        <w:t>and</w:t>
      </w:r>
      <w:proofErr w:type="spellEnd"/>
      <w:r>
        <w:rPr>
          <w:rFonts w:ascii="Segoe UI" w:eastAsia="Segoe UI" w:hAnsi="Segoe UI" w:cs="Segoe UI"/>
          <w:color w:val="323130"/>
          <w:sz w:val="24"/>
          <w:szCs w:val="24"/>
        </w:rPr>
        <w:t xml:space="preserve"> sometimes, you know, it's something. That's why I said I'm always being, you know, very open and honest to whatever, whoever has worked for me or whoever I work for, you know, you know, </w:t>
      </w:r>
      <w:proofErr w:type="spellStart"/>
      <w:r>
        <w:rPr>
          <w:rFonts w:ascii="Segoe UI" w:eastAsia="Segoe UI" w:hAnsi="Segoe UI" w:cs="Segoe UI"/>
          <w:color w:val="323130"/>
          <w:sz w:val="24"/>
          <w:szCs w:val="24"/>
        </w:rPr>
        <w:t>'cause</w:t>
      </w:r>
      <w:proofErr w:type="spellEnd"/>
      <w:r>
        <w:rPr>
          <w:rFonts w:ascii="Segoe UI" w:eastAsia="Segoe UI" w:hAnsi="Segoe UI" w:cs="Segoe UI"/>
          <w:color w:val="323130"/>
          <w:sz w:val="24"/>
          <w:szCs w:val="24"/>
        </w:rPr>
        <w:t xml:space="preserve"> at the end of the</w:t>
      </w:r>
      <w:r>
        <w:rPr>
          <w:rFonts w:ascii="Segoe UI" w:eastAsia="Segoe UI" w:hAnsi="Segoe UI" w:cs="Segoe UI"/>
          <w:color w:val="323130"/>
          <w:sz w:val="24"/>
          <w:szCs w:val="24"/>
        </w:rPr>
        <w:t xml:space="preserve"> day, you know there's much more beyond this itself and it continues, you know, whether you like it or not, you know.</w:t>
      </w:r>
      <w:r>
        <w:rPr>
          <w:rFonts w:ascii="Segoe UI" w:eastAsia="Segoe UI" w:hAnsi="Segoe UI" w:cs="Segoe UI"/>
          <w:color w:val="323130"/>
          <w:sz w:val="24"/>
          <w:szCs w:val="24"/>
        </w:rPr>
        <w:br/>
        <w:t>Destinies and path will always cross. Yeah, I think so. Yeah, absolutely. Fully agree. OK. OK. Thank you so much. OK. Thanks. OK.</w:t>
      </w:r>
      <w:r>
        <w:rPr>
          <w:rFonts w:ascii="Segoe UI" w:eastAsia="Segoe UI" w:hAnsi="Segoe UI" w:cs="Segoe UI"/>
          <w:color w:val="323130"/>
          <w:sz w:val="24"/>
          <w:szCs w:val="24"/>
        </w:rPr>
        <w:br/>
        <w:t>Stop there.</w:t>
      </w:r>
    </w:p>
    <w:p w14:paraId="483A5488" w14:textId="77777777" w:rsidR="002E5D03" w:rsidRDefault="00977BB2">
      <w:pPr>
        <w:spacing w:line="300" w:lineRule="auto"/>
        <w:rPr>
          <w:rFonts w:ascii="Segoe UI" w:eastAsia="Segoe UI" w:hAnsi="Segoe UI" w:cs="Segoe UI"/>
          <w:color w:val="A19F9D"/>
          <w:sz w:val="24"/>
          <w:szCs w:val="24"/>
        </w:rPr>
      </w:pPr>
      <w:r>
        <w:rPr>
          <w:noProof/>
        </w:rPr>
        <w:drawing>
          <wp:anchor distT="0" distB="0" distL="0" distR="0" simplePos="0" relativeHeight="251657728" behindDoc="0" locked="0" layoutInCell="1" allowOverlap="1" wp14:anchorId="483A548D" wp14:editId="483A548E">
            <wp:simplePos x="0" y="0"/>
            <wp:positionH relativeFrom="page">
              <wp:posOffset>621792</wp:posOffset>
            </wp:positionH>
            <wp:positionV relativeFrom="paragraph">
              <wp:posOffset>274320</wp:posOffset>
            </wp:positionV>
            <wp:extent cx="209550" cy="2095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1"/>
                    <a:srcRect/>
                    <a:stretch>
                      <a:fillRect/>
                    </a:stretch>
                  </pic:blipFill>
                  <pic:spPr bwMode="auto">
                    <a:xfrm>
                      <a:off x="0" y="0"/>
                      <a:ext cx="209550" cy="209550"/>
                    </a:xfrm>
                    <a:prstGeom prst="rect">
                      <a:avLst/>
                    </a:prstGeom>
                  </pic:spPr>
                </pic:pic>
              </a:graphicData>
            </a:graphic>
          </wp:anchor>
        </w:drawing>
      </w:r>
      <w:r>
        <w:rPr>
          <w:rFonts w:ascii="Segoe UI" w:eastAsia="Segoe UI" w:hAnsi="Segoe UI" w:cs="Segoe UI"/>
          <w:b/>
          <w:bCs/>
          <w:color w:val="605E5C"/>
          <w:sz w:val="24"/>
          <w:szCs w:val="24"/>
        </w:rPr>
        <w:br/>
        <w:t xml:space="preserve">Loh Niap Juan </w:t>
      </w:r>
      <w:r>
        <w:rPr>
          <w:rFonts w:ascii="Segoe UI" w:eastAsia="Segoe UI" w:hAnsi="Segoe UI" w:cs="Segoe UI"/>
          <w:color w:val="A19F9D"/>
          <w:sz w:val="24"/>
          <w:szCs w:val="24"/>
        </w:rPr>
        <w:t>stopped transcription</w:t>
      </w:r>
    </w:p>
    <w:p w14:paraId="243FDFD6" w14:textId="77777777" w:rsidR="00C4257B" w:rsidRDefault="00C4257B">
      <w:pPr>
        <w:spacing w:line="300" w:lineRule="auto"/>
        <w:rPr>
          <w:rFonts w:ascii="Segoe UI" w:eastAsia="Segoe UI" w:hAnsi="Segoe UI" w:cs="Segoe UI"/>
          <w:color w:val="A19F9D"/>
          <w:sz w:val="24"/>
          <w:szCs w:val="24"/>
        </w:rPr>
      </w:pPr>
    </w:p>
    <w:p w14:paraId="21457CA7" w14:textId="77777777" w:rsidR="00C4257B" w:rsidRDefault="00C4257B">
      <w:pPr>
        <w:spacing w:line="300" w:lineRule="auto"/>
      </w:pPr>
    </w:p>
    <w:sectPr w:rsidR="00C4257B">
      <w:headerReference w:type="default" r:id="rId384"/>
      <w:headerReference w:type="first" r:id="rId385"/>
      <w:headerReference w:type="even" r:id="rId386"/>
      <w:footerReference w:type="default" r:id="rId387"/>
      <w:footerReference w:type="first" r:id="rId388"/>
      <w:footerReference w:type="even" r:id="rId38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Medium">
    <w:altName w:val="Calibri"/>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ter Light">
    <w:altName w:val="Calibri"/>
    <w:panose1 w:val="00000000000000000000"/>
    <w:charset w:val="00"/>
    <w:family w:val="swiss"/>
    <w:notTrueType/>
    <w:pitch w:val="default"/>
    <w:sig w:usb0="00000003" w:usb1="00000000" w:usb2="00000000" w:usb3="00000000" w:csb0="00000001" w:csb1="00000000"/>
  </w:font>
  <w:font w:name="Inter">
    <w:altName w:val="Calibri"/>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1D53"/>
    <w:multiLevelType w:val="multilevel"/>
    <w:tmpl w:val="7F6C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9408A"/>
    <w:multiLevelType w:val="hybridMultilevel"/>
    <w:tmpl w:val="43D82ED0"/>
    <w:lvl w:ilvl="0" w:tplc="71289E4C">
      <w:start w:val="1"/>
      <w:numFmt w:val="bullet"/>
      <w:lvlText w:val="●"/>
      <w:lvlJc w:val="left"/>
      <w:pPr>
        <w:ind w:left="720" w:hanging="360"/>
      </w:pPr>
    </w:lvl>
    <w:lvl w:ilvl="1" w:tplc="562AF044">
      <w:start w:val="1"/>
      <w:numFmt w:val="bullet"/>
      <w:lvlText w:val="○"/>
      <w:lvlJc w:val="left"/>
      <w:pPr>
        <w:ind w:left="1440" w:hanging="360"/>
      </w:pPr>
    </w:lvl>
    <w:lvl w:ilvl="2" w:tplc="F87E9DEE">
      <w:start w:val="1"/>
      <w:numFmt w:val="bullet"/>
      <w:lvlText w:val="■"/>
      <w:lvlJc w:val="left"/>
      <w:pPr>
        <w:ind w:left="2160" w:hanging="360"/>
      </w:pPr>
    </w:lvl>
    <w:lvl w:ilvl="3" w:tplc="1CB49DFA">
      <w:start w:val="1"/>
      <w:numFmt w:val="bullet"/>
      <w:lvlText w:val="●"/>
      <w:lvlJc w:val="left"/>
      <w:pPr>
        <w:ind w:left="2880" w:hanging="360"/>
      </w:pPr>
    </w:lvl>
    <w:lvl w:ilvl="4" w:tplc="EF98544A">
      <w:start w:val="1"/>
      <w:numFmt w:val="bullet"/>
      <w:lvlText w:val="○"/>
      <w:lvlJc w:val="left"/>
      <w:pPr>
        <w:ind w:left="3600" w:hanging="360"/>
      </w:pPr>
    </w:lvl>
    <w:lvl w:ilvl="5" w:tplc="251E52AC">
      <w:start w:val="1"/>
      <w:numFmt w:val="bullet"/>
      <w:lvlText w:val="■"/>
      <w:lvlJc w:val="left"/>
      <w:pPr>
        <w:ind w:left="4320" w:hanging="360"/>
      </w:pPr>
    </w:lvl>
    <w:lvl w:ilvl="6" w:tplc="08E49608">
      <w:start w:val="1"/>
      <w:numFmt w:val="bullet"/>
      <w:lvlText w:val="●"/>
      <w:lvlJc w:val="left"/>
      <w:pPr>
        <w:ind w:left="5040" w:hanging="360"/>
      </w:pPr>
    </w:lvl>
    <w:lvl w:ilvl="7" w:tplc="15827FE4">
      <w:start w:val="1"/>
      <w:numFmt w:val="bullet"/>
      <w:lvlText w:val="●"/>
      <w:lvlJc w:val="left"/>
      <w:pPr>
        <w:ind w:left="5760" w:hanging="360"/>
      </w:pPr>
    </w:lvl>
    <w:lvl w:ilvl="8" w:tplc="F43674B0">
      <w:start w:val="1"/>
      <w:numFmt w:val="bullet"/>
      <w:lvlText w:val="●"/>
      <w:lvlJc w:val="left"/>
      <w:pPr>
        <w:ind w:left="6480" w:hanging="360"/>
      </w:pPr>
    </w:lvl>
  </w:abstractNum>
  <w:abstractNum w:abstractNumId="2" w15:restartNumberingAfterBreak="0">
    <w:nsid w:val="089326DA"/>
    <w:multiLevelType w:val="multilevel"/>
    <w:tmpl w:val="6C16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04A75"/>
    <w:multiLevelType w:val="multilevel"/>
    <w:tmpl w:val="7D3E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3003B"/>
    <w:multiLevelType w:val="multilevel"/>
    <w:tmpl w:val="F868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2345F"/>
    <w:multiLevelType w:val="multilevel"/>
    <w:tmpl w:val="E0A8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77A2D"/>
    <w:multiLevelType w:val="multilevel"/>
    <w:tmpl w:val="CF488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C306B"/>
    <w:multiLevelType w:val="multilevel"/>
    <w:tmpl w:val="54965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0A7F81"/>
    <w:multiLevelType w:val="multilevel"/>
    <w:tmpl w:val="7F0A1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72D17"/>
    <w:multiLevelType w:val="multilevel"/>
    <w:tmpl w:val="2BE0A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4A538F"/>
    <w:multiLevelType w:val="multilevel"/>
    <w:tmpl w:val="9CFE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0356F"/>
    <w:multiLevelType w:val="multilevel"/>
    <w:tmpl w:val="3D729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0646AC"/>
    <w:multiLevelType w:val="multilevel"/>
    <w:tmpl w:val="D56E9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F358B"/>
    <w:multiLevelType w:val="multilevel"/>
    <w:tmpl w:val="BDF6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E84008"/>
    <w:multiLevelType w:val="hybridMultilevel"/>
    <w:tmpl w:val="0C626A7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5" w15:restartNumberingAfterBreak="0">
    <w:nsid w:val="30C24349"/>
    <w:multiLevelType w:val="multilevel"/>
    <w:tmpl w:val="F0F0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0B7CE0"/>
    <w:multiLevelType w:val="multilevel"/>
    <w:tmpl w:val="D55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462667"/>
    <w:multiLevelType w:val="hybridMultilevel"/>
    <w:tmpl w:val="FE824F48"/>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8" w15:restartNumberingAfterBreak="0">
    <w:nsid w:val="3C606D86"/>
    <w:multiLevelType w:val="multilevel"/>
    <w:tmpl w:val="1AEE8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925090"/>
    <w:multiLevelType w:val="multilevel"/>
    <w:tmpl w:val="BDA4D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3F09AA"/>
    <w:multiLevelType w:val="multilevel"/>
    <w:tmpl w:val="00DA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4A471E"/>
    <w:multiLevelType w:val="multilevel"/>
    <w:tmpl w:val="1A18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F81DE8"/>
    <w:multiLevelType w:val="multilevel"/>
    <w:tmpl w:val="2788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853A52"/>
    <w:multiLevelType w:val="multilevel"/>
    <w:tmpl w:val="15E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11B7E"/>
    <w:multiLevelType w:val="multilevel"/>
    <w:tmpl w:val="F1247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507AF1"/>
    <w:multiLevelType w:val="multilevel"/>
    <w:tmpl w:val="6324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C966BF"/>
    <w:multiLevelType w:val="hybridMultilevel"/>
    <w:tmpl w:val="1866696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27" w15:restartNumberingAfterBreak="0">
    <w:nsid w:val="69541A22"/>
    <w:multiLevelType w:val="multilevel"/>
    <w:tmpl w:val="70E6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68777F"/>
    <w:multiLevelType w:val="multilevel"/>
    <w:tmpl w:val="3D5A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B01E36"/>
    <w:multiLevelType w:val="multilevel"/>
    <w:tmpl w:val="8EB0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40456A"/>
    <w:multiLevelType w:val="multilevel"/>
    <w:tmpl w:val="7508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246B82"/>
    <w:multiLevelType w:val="multilevel"/>
    <w:tmpl w:val="3CAC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B479E5"/>
    <w:multiLevelType w:val="multilevel"/>
    <w:tmpl w:val="1F520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955D1"/>
    <w:multiLevelType w:val="multilevel"/>
    <w:tmpl w:val="D020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691557"/>
    <w:multiLevelType w:val="multilevel"/>
    <w:tmpl w:val="B5889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857F0B"/>
    <w:multiLevelType w:val="multilevel"/>
    <w:tmpl w:val="59B6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128262">
    <w:abstractNumId w:val="1"/>
    <w:lvlOverride w:ilvl="0">
      <w:startOverride w:val="1"/>
    </w:lvlOverride>
  </w:num>
  <w:num w:numId="2" w16cid:durableId="773674094">
    <w:abstractNumId w:val="26"/>
  </w:num>
  <w:num w:numId="3" w16cid:durableId="1822310762">
    <w:abstractNumId w:val="14"/>
  </w:num>
  <w:num w:numId="4" w16cid:durableId="1950700192">
    <w:abstractNumId w:val="17"/>
  </w:num>
  <w:num w:numId="5" w16cid:durableId="236326897">
    <w:abstractNumId w:val="25"/>
  </w:num>
  <w:num w:numId="6" w16cid:durableId="592787887">
    <w:abstractNumId w:val="16"/>
  </w:num>
  <w:num w:numId="7" w16cid:durableId="597173710">
    <w:abstractNumId w:val="31"/>
  </w:num>
  <w:num w:numId="8" w16cid:durableId="777220407">
    <w:abstractNumId w:val="12"/>
  </w:num>
  <w:num w:numId="9" w16cid:durableId="1562323733">
    <w:abstractNumId w:val="4"/>
  </w:num>
  <w:num w:numId="10" w16cid:durableId="1275022109">
    <w:abstractNumId w:val="6"/>
  </w:num>
  <w:num w:numId="11" w16cid:durableId="1268729275">
    <w:abstractNumId w:val="30"/>
  </w:num>
  <w:num w:numId="12" w16cid:durableId="1426150272">
    <w:abstractNumId w:val="24"/>
  </w:num>
  <w:num w:numId="13" w16cid:durableId="1743984757">
    <w:abstractNumId w:val="7"/>
  </w:num>
  <w:num w:numId="14" w16cid:durableId="1779761204">
    <w:abstractNumId w:val="32"/>
  </w:num>
  <w:num w:numId="15" w16cid:durableId="651059551">
    <w:abstractNumId w:val="28"/>
  </w:num>
  <w:num w:numId="16" w16cid:durableId="1840847065">
    <w:abstractNumId w:val="18"/>
  </w:num>
  <w:num w:numId="17" w16cid:durableId="1073743366">
    <w:abstractNumId w:val="35"/>
  </w:num>
  <w:num w:numId="18" w16cid:durableId="805657042">
    <w:abstractNumId w:val="20"/>
  </w:num>
  <w:num w:numId="19" w16cid:durableId="1180268164">
    <w:abstractNumId w:val="9"/>
  </w:num>
  <w:num w:numId="20" w16cid:durableId="1155609659">
    <w:abstractNumId w:val="0"/>
  </w:num>
  <w:num w:numId="21" w16cid:durableId="1250505241">
    <w:abstractNumId w:val="27"/>
  </w:num>
  <w:num w:numId="22" w16cid:durableId="1206530241">
    <w:abstractNumId w:val="11"/>
  </w:num>
  <w:num w:numId="23" w16cid:durableId="507477921">
    <w:abstractNumId w:val="8"/>
  </w:num>
  <w:num w:numId="24" w16cid:durableId="462964406">
    <w:abstractNumId w:val="23"/>
  </w:num>
  <w:num w:numId="25" w16cid:durableId="2049527321">
    <w:abstractNumId w:val="33"/>
  </w:num>
  <w:num w:numId="26" w16cid:durableId="1601642607">
    <w:abstractNumId w:val="21"/>
  </w:num>
  <w:num w:numId="27" w16cid:durableId="573590222">
    <w:abstractNumId w:val="29"/>
  </w:num>
  <w:num w:numId="28" w16cid:durableId="1732576515">
    <w:abstractNumId w:val="5"/>
  </w:num>
  <w:num w:numId="29" w16cid:durableId="1894466268">
    <w:abstractNumId w:val="22"/>
  </w:num>
  <w:num w:numId="30" w16cid:durableId="1698965634">
    <w:abstractNumId w:val="15"/>
  </w:num>
  <w:num w:numId="31" w16cid:durableId="568535000">
    <w:abstractNumId w:val="13"/>
  </w:num>
  <w:num w:numId="32" w16cid:durableId="479153453">
    <w:abstractNumId w:val="10"/>
  </w:num>
  <w:num w:numId="33" w16cid:durableId="938871711">
    <w:abstractNumId w:val="2"/>
  </w:num>
  <w:num w:numId="34" w16cid:durableId="412163649">
    <w:abstractNumId w:val="3"/>
  </w:num>
  <w:num w:numId="35" w16cid:durableId="1372652403">
    <w:abstractNumId w:val="19"/>
  </w:num>
  <w:num w:numId="36" w16cid:durableId="113823151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03"/>
    <w:rsid w:val="000A107E"/>
    <w:rsid w:val="001701CB"/>
    <w:rsid w:val="00197B99"/>
    <w:rsid w:val="00272EB2"/>
    <w:rsid w:val="002936C5"/>
    <w:rsid w:val="002D0F2E"/>
    <w:rsid w:val="002E5D03"/>
    <w:rsid w:val="00624557"/>
    <w:rsid w:val="009C6AB5"/>
    <w:rsid w:val="00AF6232"/>
    <w:rsid w:val="00B55182"/>
    <w:rsid w:val="00B77BFA"/>
    <w:rsid w:val="00C4257B"/>
    <w:rsid w:val="00C738C5"/>
    <w:rsid w:val="00DC57A5"/>
    <w:rsid w:val="00EC14D2"/>
    <w:rsid w:val="00EE6A92"/>
    <w:rsid w:val="509237F4"/>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A5484"/>
  <w15:docId w15:val="{BB8A9B8F-1E2C-4C3A-8396-105FA5BA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NormalWeb">
    <w:name w:val="Normal (Web)"/>
    <w:basedOn w:val="Normal"/>
    <w:uiPriority w:val="99"/>
    <w:semiHidden/>
    <w:unhideWhenUsed/>
    <w:rsid w:val="00197B99"/>
    <w:pPr>
      <w:spacing w:before="100" w:beforeAutospacing="1" w:after="100" w:afterAutospacing="1"/>
    </w:pPr>
    <w:rPr>
      <w:sz w:val="24"/>
      <w:szCs w:val="24"/>
    </w:rPr>
  </w:style>
  <w:style w:type="character" w:styleId="Strong">
    <w:name w:val="Strong"/>
    <w:basedOn w:val="DefaultParagraphFont"/>
    <w:uiPriority w:val="22"/>
    <w:qFormat/>
    <w:rsid w:val="00197B99"/>
    <w:rPr>
      <w:b/>
      <w:bCs/>
    </w:rPr>
  </w:style>
  <w:style w:type="numbering" w:customStyle="1" w:styleId="NoList1">
    <w:name w:val="No List1"/>
    <w:next w:val="NoList"/>
    <w:uiPriority w:val="99"/>
    <w:semiHidden/>
    <w:unhideWhenUsed/>
    <w:rsid w:val="00EE6A92"/>
  </w:style>
  <w:style w:type="character" w:customStyle="1" w:styleId="Heading1Char">
    <w:name w:val="Heading 1 Char"/>
    <w:basedOn w:val="DefaultParagraphFont"/>
    <w:link w:val="Heading1"/>
    <w:uiPriority w:val="9"/>
    <w:rsid w:val="00EE6A92"/>
    <w:rPr>
      <w:color w:val="2E74B5"/>
      <w:sz w:val="32"/>
      <w:szCs w:val="32"/>
    </w:rPr>
  </w:style>
  <w:style w:type="character" w:customStyle="1" w:styleId="Heading2Char">
    <w:name w:val="Heading 2 Char"/>
    <w:basedOn w:val="DefaultParagraphFont"/>
    <w:link w:val="Heading2"/>
    <w:uiPriority w:val="9"/>
    <w:rsid w:val="00EE6A92"/>
    <w:rPr>
      <w:color w:val="2E74B5"/>
      <w:sz w:val="26"/>
      <w:szCs w:val="26"/>
    </w:rPr>
  </w:style>
  <w:style w:type="paragraph" w:customStyle="1" w:styleId="msonormal0">
    <w:name w:val="msonormal"/>
    <w:basedOn w:val="Normal"/>
    <w:rsid w:val="00EE6A92"/>
    <w:pPr>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EE6A92"/>
    <w:rPr>
      <w:strike w:val="0"/>
      <w:dstrike w:val="0"/>
      <w:color w:val="464FEB"/>
      <w:u w:val="none"/>
      <w:effect w:val="none"/>
    </w:rPr>
  </w:style>
  <w:style w:type="character" w:styleId="Emphasis">
    <w:name w:val="Emphasis"/>
    <w:basedOn w:val="DefaultParagraphFont"/>
    <w:uiPriority w:val="20"/>
    <w:qFormat/>
    <w:rsid w:val="00EE6A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teams.microsoft.com/l/message/19:c79f0a9fb9524a87a83f5d88795ab60f@thread.v2/1747360818035?context=%7B%22contextType%22:%22chat%22%7D" TargetMode="External"/><Relationship Id="rId299" Type="http://schemas.openxmlformats.org/officeDocument/2006/relationships/hyperlink" Target="https://outlook.office365.com/owa/?ItemID=AAMkADZkM2E4ODY5LTRlZjctNDYwYi05ZjZmLWY1Y2JjNDQ3YmY5OQBGAAAAAACw6n1e8xBCTZUZ2e%2fXKpJUBwDw6YY03VLLRpYNaUr0VNVqAAWbXN2kAADw6YY03VLLRpYNaUr0VNVqAAXjcMccAAA%3d&amp;exvsurl=1&amp;viewmodel=ReadMessageItem" TargetMode="External"/><Relationship Id="rId21"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63"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159"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324"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66"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70"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26"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68"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2"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74"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128"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35"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77"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5" Type="http://schemas.openxmlformats.org/officeDocument/2006/relationships/styles" Target="styles.xml"/><Relationship Id="rId181"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237" Type="http://schemas.openxmlformats.org/officeDocument/2006/relationships/hyperlink" Target="https://imconline.sharepoint.com/sites/OctaveInstitute/_layouts/15/Doc.aspx?sourcedoc=%7B756706E7-8520-4607-B6B9-9B3CCD0DFA38%7D&amp;file=Proposed%20Facilitator%20Script%20with%20Detailed%20Explanations%20for%20Each%20Slide.docx&amp;action=default&amp;mobileredirect=true&amp;DefaultItemOpen=1" TargetMode="External"/><Relationship Id="rId279" Type="http://schemas.openxmlformats.org/officeDocument/2006/relationships/hyperlink" Target="https://imconline-my.sharepoint.com/personal/lohniapjuan_tsaopaochee_com/Documents/Attachments/Role%20Profile_Dy%20ED%20OCTAVE%20Institute%203%20July%202025.docx?web=1" TargetMode="External"/><Relationship Id="rId43" Type="http://schemas.openxmlformats.org/officeDocument/2006/relationships/hyperlink" Target="https://imconline.sharepoint.com/sites/IMCPAAandCorporate/Shared%20Documents/General/IMCPAA%20&amp;%20Corporate%20Meetings/2025-09.%2022-May%20Weekly%20TPC%20and%20Corporate%20Meeting%202025.pdf?web=1" TargetMode="External"/><Relationship Id="rId139"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290" Type="http://schemas.openxmlformats.org/officeDocument/2006/relationships/hyperlink" Target="https://outlook.office365.com/owa/?ItemID=AAMkADZkM2E4ODY5LTRlZjctNDYwYi05ZjZmLWY1Y2JjNDQ3YmY5OQBGAAAAAACw6n1e8xBCTZUZ2e%2fXKpJUBwDw6YY03VLLRpYNaUr0VNVqAAQvIUL5AADw6YY03VLLRpYNaUr0VNVqAATCrTfHAAA%3d&amp;exvsurl=1&amp;viewmodel=ReadMessageItem" TargetMode="External"/><Relationship Id="rId304" Type="http://schemas.openxmlformats.org/officeDocument/2006/relationships/hyperlink" Target="https://outlook.office365.com/owa/?ItemID=AAMkADZkM2E4ODY5LTRlZjctNDYwYi05ZjZmLWY1Y2JjNDQ3YmY5OQBGAAAAAACw6n1e8xBCTZUZ2e%2fXKpJUBwDw6YY03VLLRpYNaUr0VNVqAAWbXN2kAADw6YY03VLLRpYNaUr0VNVqAAXjcMccAAA%3d&amp;exvsurl=1&amp;viewmodel=ReadMessageItem" TargetMode="External"/><Relationship Id="rId346"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85"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50"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192" Type="http://schemas.openxmlformats.org/officeDocument/2006/relationships/hyperlink" Target="https://outlook.office365.com/owa/?ItemID=AAMkADZkM2E4ODY5LTRlZjctNDYwYi05ZjZmLWY1Y2JjNDQ3YmY5OQBGAAAAAACw6n1e8xBCTZUZ2e%2fXKpJUBwDw6YY03VLLRpYNaUr0VNVqAAUgjwSZAADw6YY03VLLRpYNaUr0VNVqAAWGGuTQAAA%3d\&amp;exvsurl=1\&amp;viewmodel=ReadMessageItem" TargetMode="External"/><Relationship Id="rId206"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48"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12" Type="http://schemas.openxmlformats.org/officeDocument/2006/relationships/hyperlink" Target="https://imconline.sharepoint.com/sites/IMCPAAandCorporate/Shared%20Documents/General/IMCPAA%20&amp;%20Corporate%20Meetings/2025-19.%2011-Sep%20Weekly%20TPC%20and%20Corporate%20Meeting%202025.pdf?web=1" TargetMode="External"/><Relationship Id="rId108" Type="http://schemas.openxmlformats.org/officeDocument/2006/relationships/hyperlink" Target="https://outlook.office365.com/owa/?ItemID=AAMkADZkM2E4ODY5LTRlZjctNDYwYi05ZjZmLWY1Y2JjNDQ3YmY5OQBGAAAAAACw6n1e8xBCTZUZ2e%2fXKpJUBwDw6YY03VLLRpYNaUr0VNVqAAUiATj8AADw6YY03VLLRpYNaUr0VNVqAAV0LdQvAAA%3d\&amp;exvsurl=1\&amp;viewmodel=ReadMessageItem" TargetMode="External"/><Relationship Id="rId315"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57"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54" Type="http://schemas.openxmlformats.org/officeDocument/2006/relationships/hyperlink" Target="https://imconline.sharepoint.com/sites/IMCPAAandCorporate/Shared%20Documents/General/IMCPAA%20&amp;%20Corporate%20Meetings/2025-19.%2011-Sep%20Weekly%20TPC%20and%20Corporate%20Meeting%202025.pdf?web=1" TargetMode="External"/><Relationship Id="rId96"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61"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17"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59" Type="http://schemas.openxmlformats.org/officeDocument/2006/relationships/hyperlink" Target="https://outlook.office365.com/owa/?ItemID=AAMkADZkM2E4ODY5LTRlZjctNDYwYi05ZjZmLWY1Y2JjNDQ3YmY5OQBGAAAAAACw6n1e8xBCTZUZ2e%2fXKpJUBwDw6YY03VLLRpYNaUr0VNVqAAWbXN2kAADw6YY03VLLRpYNaUr0VNVqAAXjcMccAAA%3d&amp;exvsurl=1&amp;viewmodel=ReadMessageItem" TargetMode="External"/><Relationship Id="rId23" Type="http://schemas.openxmlformats.org/officeDocument/2006/relationships/hyperlink" Target="https://teams.microsoft.com/l/message/19:c79f0a9fb9524a87a83f5d88795ab60f@thread.v2/1747360946127?context=%7B%22contextType%22:%22chat%22%7D" TargetMode="External"/><Relationship Id="rId119"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270"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26"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65"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130" Type="http://schemas.openxmlformats.org/officeDocument/2006/relationships/hyperlink" Target="https://outlook.office365.com/owa/?ItemID=AAMkADZkM2E4ODY5LTRlZjctNDYwYi05ZjZmLWY1Y2JjNDQ3YmY5OQBGAAAAAACw6n1e8xBCTZUZ2e%2fXKpJUBwDw6YY03VLLRpYNaUr0VNVqAAUgjwSZAADw6YY03VLLRpYNaUr0VNVqAAWGGuTQAAA%3d\&amp;exvsurl=1\&amp;viewmodel=ReadMessageItem" TargetMode="External"/><Relationship Id="rId368"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172"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28"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81"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37"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34" Type="http://schemas.openxmlformats.org/officeDocument/2006/relationships/hyperlink" Target="https://imconline-my.sharepoint.com/personal/lohniapjuan_tsaopaochee_com/Documents/Documents/IMC/Aitia/QL/QL%20Design%20Nov%202023.pptx?web=1" TargetMode="External"/><Relationship Id="rId76" Type="http://schemas.openxmlformats.org/officeDocument/2006/relationships/hyperlink" Target="https://teams.microsoft.com/l/message/19:be8f1f0adb094a3ab9b61030876db94a@thread.v2/1747363108473?context=%7B%22contextType%22:%22chat%22%7D" TargetMode="External"/><Relationship Id="rId141" Type="http://schemas.openxmlformats.org/officeDocument/2006/relationships/hyperlink" Target="https://teams.microsoft.com/l/message/19:c79f0a9fb9524a87a83f5d88795ab60f@thread.v2/1747360818035?context=%7B%22contextType%22:%22chat%22%7D" TargetMode="External"/><Relationship Id="rId379" Type="http://schemas.openxmlformats.org/officeDocument/2006/relationships/image" Target="media/image2.png"/><Relationship Id="rId7" Type="http://schemas.openxmlformats.org/officeDocument/2006/relationships/webSettings" Target="webSettings.xml"/><Relationship Id="rId183"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39" Type="http://schemas.openxmlformats.org/officeDocument/2006/relationships/hyperlink" Target="https://imconline.sharepoint.com/sites/OctaveInstitute/_layouts/15/Doc.aspx?sourcedoc=%7BDC626976-2E9B-4ED7-879C-93E542F969C0%7D&amp;file=FinanceTOM.pptx&amp;action=edit&amp;mobileredirect=true&amp;DefaultItemOpen=1" TargetMode="External"/><Relationship Id="rId250" Type="http://schemas.openxmlformats.org/officeDocument/2006/relationships/hyperlink" Target="https://outlook.office365.com/owa/?ItemID=AAMkADZkM2E4ODY5LTRlZjctNDYwYi05ZjZmLWY1Y2JjNDQ3YmY5OQBGAAAAAACw6n1e8xBCTZUZ2e%2fXKpJUBwDw6YY03VLLRpYNaUr0VNVqAAQx1FDuAADw6YY03VLLRpYNaUr0VNVqAAUEZIguAAA%3d&amp;exvsurl=1&amp;viewmodel=ReadMessageItem" TargetMode="External"/><Relationship Id="rId292"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06" Type="http://schemas.openxmlformats.org/officeDocument/2006/relationships/hyperlink" Target="https://imconline-my.sharepoint.com/personal/natasha_maklevrion_octaveinstitute_com/_layouts/15/Doc.aspx?sourcedoc=%7BA960C584-A2B2-4913-BEEE-024F1AD8F9C1%7D&amp;file=OKR%202025%20Kenneth_OCTAVE%20INS_APPROVED.xlsx&amp;action=default&amp;mobileredirect=true&amp;DefaultItemOpen=1" TargetMode="External"/><Relationship Id="rId45" Type="http://schemas.openxmlformats.org/officeDocument/2006/relationships/hyperlink" Target="https://imconline.sharepoint.com/sites/IMCPAAandCorporate/Shared%20Documents/General/IMCPAA%20&amp;%20Corporate%20Meetings/2025-09.%2022-May%20Weekly%20TPC%20and%20Corporate%20Meeting%202025.pdf?web=1" TargetMode="External"/><Relationship Id="rId87"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10" Type="http://schemas.openxmlformats.org/officeDocument/2006/relationships/hyperlink" Target="https://teams.microsoft.com/l/message/19:c79f0a9fb9524a87a83f5d88795ab60f@thread.v2/1747360818035?context=%7B%22contextType%22:%22chat%22%7D" TargetMode="External"/><Relationship Id="rId348"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52"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94"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08" Type="http://schemas.openxmlformats.org/officeDocument/2006/relationships/hyperlink" Target="https://teams.microsoft.com/l/message/19:c79f0a9fb9524a87a83f5d88795ab60f@thread.v2/1747360818035?context=%7B%22contextType%22:%22chat%22%7D" TargetMode="External"/><Relationship Id="rId261" Type="http://schemas.openxmlformats.org/officeDocument/2006/relationships/hyperlink" Target="https://imconline-my.sharepoint.com/personal/lohniapjuan_tsaopaochee_com/Documents/Documents/IMC/P&amp;O/Appraisals/Kenneth%20ePCG.docx?web=1" TargetMode="External"/><Relationship Id="rId14" Type="http://schemas.openxmlformats.org/officeDocument/2006/relationships/hyperlink" Target="https://teams.microsoft.com/l/message/19:c79f0a9fb9524a87a83f5d88795ab60f@thread.v2/1747360946127?context=%7B%22contextType%22:%22chat%22%7D" TargetMode="External"/><Relationship Id="rId56"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317"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59"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98"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21" Type="http://schemas.openxmlformats.org/officeDocument/2006/relationships/hyperlink" Target="https://outlook.office365.com/owa/?ItemID=AAMkADZkM2E4ODY5LTRlZjctNDYwYi05ZjZmLWY1Y2JjNDQ3YmY5OQBGAAAAAACw6n1e8xBCTZUZ2e%2fXKpJUBwCoq2fxLAaRRI%2bb5PHs4ignAAAAlYE9AADw6YY03VLLRpYNaUr0VNVqAAV2MwyPAAA%3d\&amp;exvsurl=1\&amp;viewmodel=ReadMessageItem" TargetMode="External"/><Relationship Id="rId163"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219" Type="http://schemas.openxmlformats.org/officeDocument/2006/relationships/hyperlink" Target="https://outlook.office365.com/owa/?ItemID=AAMkADZkM2E4ODY5LTRlZjctNDYwYi05ZjZmLWY1Y2JjNDQ3YmY5OQBGAAAAAACw6n1e8xBCTZUZ2e%2fXKpJUBwDw6YY03VLLRpYNaUr0VNVqAAUgjwSZAADw6YY03VLLRpYNaUr0VNVqAAWGGuTQAAA%3d&amp;exvsurl=1&amp;viewmodel=ReadMessageItem" TargetMode="External"/><Relationship Id="rId370"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230"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5"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67"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272"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28"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32" Type="http://schemas.openxmlformats.org/officeDocument/2006/relationships/hyperlink" Target="https://outlook.office365.com/owa/?ItemID=AAMkADZkM2E4ODY5LTRlZjctNDYwYi05ZjZmLWY1Y2JjNDQ3YmY5OQBGAAAAAACw6n1e8xBCTZUZ2e%2fXKpJUBwCoq2fxLAaRRI%2bb5PHs4ignAAAAlYE%2bAADw6YY03VLLRpYNaUr0VNVqAAXJJLgJAAA%3d\&amp;exvsurl=1\&amp;viewmodel=ReadMessageItem" TargetMode="External"/><Relationship Id="rId174"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381" Type="http://schemas.openxmlformats.org/officeDocument/2006/relationships/image" Target="media/image4.png"/><Relationship Id="rId241"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36"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283" Type="http://schemas.openxmlformats.org/officeDocument/2006/relationships/hyperlink" Target="https://imconline-my.sharepoint.com/personal/lohniapjuan_tsaopaochee_com/Documents/Attachments/Role%20Profile_Dy%20ED%20OCTAVE%20Institute%203%20July%202025.docx?web=1" TargetMode="External"/><Relationship Id="rId339"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78" Type="http://schemas.openxmlformats.org/officeDocument/2006/relationships/hyperlink" Target="https://teams.microsoft.com/l/message/19:c79f0a9fb9524a87a83f5d88795ab60f@thread.v2/1747360818035?context=%7B%22contextType%22:%22chat%22%7D" TargetMode="External"/><Relationship Id="rId101" Type="http://schemas.openxmlformats.org/officeDocument/2006/relationships/hyperlink" Target="https://outlook.office365.com/owa/?ItemID=AAMkADZkM2E4ODY5LTRlZjctNDYwYi05ZjZmLWY1Y2JjNDQ3YmY5OQBGAAAAAACw6n1e8xBCTZUZ2e%2fXKpJUBwDw6YY03VLLRpYNaUr0VNVqAAQx1FDuAADw6YY03VLLRpYNaUr0VNVqAATj2KeZAAA%3d\&amp;exvsurl=1\&amp;viewmodel=ReadMessageItem" TargetMode="External"/><Relationship Id="rId143"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185" Type="http://schemas.openxmlformats.org/officeDocument/2006/relationships/hyperlink" Target="https://outlook.office365.com/owa/?ItemID=AAMkADZkM2E4ODY5LTRlZjctNDYwYi05ZjZmLWY1Y2JjNDQ3YmY5OQBGAAAAAACw6n1e8xBCTZUZ2e%2fXKpJUBwDw6YY03VLLRpYNaUr0VNVqAAQx1FDuAADw6YY03VLLRpYNaUr0VNVqAATj2KeZAAA%3d\&amp;exvsurl=1\&amp;viewmodel=ReadMessageItem" TargetMode="External"/><Relationship Id="rId350"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9"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210" Type="http://schemas.openxmlformats.org/officeDocument/2006/relationships/hyperlink" Target="https://teams.microsoft.com/l/message/19:c79f0a9fb9524a87a83f5d88795ab60f@thread.v2/1747360818035?context=%7B%22contextType%22:%22chat%22%7D" TargetMode="External"/><Relationship Id="rId26"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231"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52" Type="http://schemas.openxmlformats.org/officeDocument/2006/relationships/hyperlink" Target="https://imconline.sharepoint.com/sites/OctaveInstitute/_layouts/15/Doc.aspx?sourcedoc=%7B756706E7-8520-4607-B6B9-9B3CCD0DFA38%7D&amp;file=Proposed%20Facilitator%20Script%20with%20Detailed%20Explanations%20for%20Each%20Slide.docx&amp;action=default&amp;mobileredirect=true&amp;DefaultItemOpen=1" TargetMode="External"/><Relationship Id="rId273" Type="http://schemas.openxmlformats.org/officeDocument/2006/relationships/hyperlink" Target="https://www.office.com/search?q=Tang+Bek+Wuay&amp;EntityRepresentationId=9789fe36-01a3-42e9-b76b-77e987b9d4a8" TargetMode="External"/><Relationship Id="rId294"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08"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29"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47" Type="http://schemas.openxmlformats.org/officeDocument/2006/relationships/hyperlink" Target="https://imconline-my.sharepoint.com/personal/lohniapjuan_tsaopaochee_com/Documents/Attachments/2025-12.%203-Jul%20Weekly%20TPC%20and%20Corporate%20Meeting%202025%20JO.docx?web=1" TargetMode="External"/><Relationship Id="rId68"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89"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12" Type="http://schemas.openxmlformats.org/officeDocument/2006/relationships/hyperlink" Target="https://outlook.office365.com/owa/?ItemID=AAMkADZkM2E4ODY5LTRlZjctNDYwYi05ZjZmLWY1Y2JjNDQ3YmY5OQBGAAAAAACw6n1e8xBCTZUZ2e%2fXKpJUBwDw6YY03VLLRpYNaUr0VNVqAAUiATj8AADw6YY03VLLRpYNaUr0VNVqAAV0LdQvAAA%3d\&amp;exvsurl=1\&amp;viewmodel=ReadMessageItem" TargetMode="External"/><Relationship Id="rId133" Type="http://schemas.openxmlformats.org/officeDocument/2006/relationships/hyperlink" Target="https://teams.microsoft.com/l/message/19:c79f0a9fb9524a87a83f5d88795ab60f@thread.v2/1747360818035?context=%7B%22contextType%22:%22chat%22%7D" TargetMode="External"/><Relationship Id="rId154"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75" Type="http://schemas.openxmlformats.org/officeDocument/2006/relationships/hyperlink" Target="https://outlook.office365.com/owa/?ItemID=AAMkADZkM2E4ODY5LTRlZjctNDYwYi05ZjZmLWY1Y2JjNDQ3YmY5OQBGAAAAAACw6n1e8xBCTZUZ2e%2fXKpJUBwDw6YY03VLLRpYNaUr0VNVqAAUgjwSfAADw6YY03VLLRpYNaUr0VNVqAAVEy6%2b9AAA%3d\&amp;exvsurl=1\&amp;viewmodel=ReadMessageItem" TargetMode="External"/><Relationship Id="rId340"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61"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96" Type="http://schemas.openxmlformats.org/officeDocument/2006/relationships/hyperlink" Target="https://teams.microsoft.com/l/message/19:c79f0a9fb9524a87a83f5d88795ab60f@thread.v2/1747360818035?context=%7B%22contextType%22:%22chat%22%7D" TargetMode="External"/><Relationship Id="rId200"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382" Type="http://schemas.openxmlformats.org/officeDocument/2006/relationships/fontTable" Target="fontTable.xml"/><Relationship Id="rId16" Type="http://schemas.openxmlformats.org/officeDocument/2006/relationships/hyperlink" Target="https://teams.microsoft.com/l/message/19:c79f0a9fb9524a87a83f5d88795ab60f@thread.v2/1747360946127?context=%7B%22contextType%22:%22chat%22%7D" TargetMode="External"/><Relationship Id="rId221"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242"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63" Type="http://schemas.openxmlformats.org/officeDocument/2006/relationships/hyperlink" Target="https://imconline-my.sharepoint.com/personal/natasha_maklevrion_octaveinstitute_com/_layouts/15/Doc.aspx?sourcedoc=%7BA960C584-A2B2-4913-BEEE-024F1AD8F9C1%7D&amp;file=OKR%202025%20Kenneth_OCTAVE%20INS_APPROVED.xlsx&amp;action=default&amp;mobileredirect=true&amp;DefaultItemOpen=1" TargetMode="External"/><Relationship Id="rId284" Type="http://schemas.openxmlformats.org/officeDocument/2006/relationships/hyperlink" Target="https://outlook.office365.com/owa/?ItemID=AAMkADZkM2E4ODY5LTRlZjctNDYwYi05ZjZmLWY1Y2JjNDQ3YmY5OQBGAAAAAACw6n1e8xBCTZUZ2e%2fXKpJUBwDw6YY03VLLRpYNaUr0VNVqAAUgjwSlAADw6YY03VLLRpYNaUr0VNVqAAWbeOxLAAA%3d&amp;exvsurl=1&amp;viewmodel=ReadMessageItem" TargetMode="External"/><Relationship Id="rId319"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37"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58"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79"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02"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23"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44"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330"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90"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65"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186"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351"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72"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211" Type="http://schemas.openxmlformats.org/officeDocument/2006/relationships/hyperlink" Target="https://outlook.office365.com/owa/?ItemID=AAMkADZkM2E4ODY5LTRlZjctNDYwYi05ZjZmLWY1Y2JjNDQ3YmY5OQBGAAAAAACw6n1e8xBCTZUZ2e%2fXKpJUBwDw6YY03VLLRpYNaUr0VNVqAAUiATj8AADw6YY03VLLRpYNaUr0VNVqAAV0LdQdAAA%3d&amp;exvsurl=1&amp;viewmodel=ReadMessageItem" TargetMode="External"/><Relationship Id="rId232" Type="http://schemas.openxmlformats.org/officeDocument/2006/relationships/hyperlink" Target="https://outlook.office365.com/owa/?ItemID=AAMkADZkM2E4ODY5LTRlZjctNDYwYi05ZjZmLWY1Y2JjNDQ3YmY5OQBGAAAAAACw6n1e8xBCTZUZ2e%2fXKpJUBwDw6YY03VLLRpYNaUr0VNVqAAUgjwSZAADw6YY03VLLRpYNaUr0VNVqAAWGGuTQAAA%3d&amp;exvsurl=1&amp;viewmodel=ReadMessageItem" TargetMode="External"/><Relationship Id="rId253" Type="http://schemas.openxmlformats.org/officeDocument/2006/relationships/hyperlink" Target="https://imconline.sharepoint.com/sites/OctaveInstitute/_layouts/15/Doc.aspx?sourcedoc=%7BDC626976-2E9B-4ED7-879C-93E542F969C0%7D&amp;file=FinanceTOM.pptx&amp;action=edit&amp;mobileredirect=true&amp;DefaultItemOpen=1" TargetMode="External"/><Relationship Id="rId274"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295" Type="http://schemas.openxmlformats.org/officeDocument/2006/relationships/hyperlink" Target="https://outlook.office365.com/owa/?ItemID=AAMkADZkM2E4ODY5LTRlZjctNDYwYi05ZjZmLWY1Y2JjNDQ3YmY5OQBGAAAAAACw6n1e8xBCTZUZ2e%2fXKpJUBwDw6YY03VLLRpYNaUr0VNVqAAUiATkTAADw6YY03VLLRpYNaUr0VNVqAAXft1CAAAA%3d&amp;exvsurl=1&amp;viewmodel=ReadMessageItem" TargetMode="External"/><Relationship Id="rId309"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27"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48" Type="http://schemas.openxmlformats.org/officeDocument/2006/relationships/hyperlink" Target="https://imconline-my.sharepoint.com/personal/lohniapjuan_tsaopaochee_com/Documents/Attachments/2025-12.%203-Jul%20Weekly%20TPC%20and%20Corporate%20Meeting%202025%20JO.docx?web=1" TargetMode="External"/><Relationship Id="rId69"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113"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134" Type="http://schemas.openxmlformats.org/officeDocument/2006/relationships/hyperlink" Target="https://teams.microsoft.com/l/message/19:c79f0a9fb9524a87a83f5d88795ab60f@thread.v2/1747360818035?context=%7B%22contextType%22:%22chat%22%7D" TargetMode="External"/><Relationship Id="rId320"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80"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55"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76"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97"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341"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362"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83" Type="http://schemas.openxmlformats.org/officeDocument/2006/relationships/theme" Target="theme/theme1.xml"/><Relationship Id="rId201"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22"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243" Type="http://schemas.openxmlformats.org/officeDocument/2006/relationships/hyperlink" Target="https://imconline-my.sharepoint.com/personal/taisookyee_tsaopaochee_com/_layouts/15/Doc.aspx?sourcedoc=%7B6FB90AAE-C25C-46FA-BD1F-42FF63C6AB1C%7D&amp;file=IW%20Programme%20Content%20Summary%20%28Old%29.pptx&amp;action=edit&amp;mobileredirect=true&amp;DefaultItemOpen=1" TargetMode="External"/><Relationship Id="rId264" Type="http://schemas.openxmlformats.org/officeDocument/2006/relationships/hyperlink" Target="https://imconline-my.sharepoint.com/personal/lohniapjuan_tsaopaochee_com/Documents/Documents/IMC/P&amp;O/Appraisals/Kenneth%20ePCG.docx?web=1" TargetMode="External"/><Relationship Id="rId285"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17"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38" Type="http://schemas.openxmlformats.org/officeDocument/2006/relationships/hyperlink" Target="https://imconline-my.sharepoint.com/personal/lohniapjuan_tsaopaochee_com/Documents/Documents/IMC/Aitia/QL/QL%20Design%20Nov%202023.pptx?web=1" TargetMode="External"/><Relationship Id="rId59"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103"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24"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10" Type="http://schemas.openxmlformats.org/officeDocument/2006/relationships/hyperlink" Target="https://outlook.office365.com/owa/?ItemID=AAMkADZkM2E4ODY5LTRlZjctNDYwYi05ZjZmLWY1Y2JjNDQ3YmY5OQBGAAAAAACw6n1e8xBCTZUZ2e%2fXKpJUBwDw6YY03VLLRpYNaUr0VNVqAAUiATkTAADw6YY03VLLRpYNaUr0VNVqAAXft1CAAAA%3d&amp;exvsurl=1&amp;viewmodel=ReadMessageItem" TargetMode="External"/><Relationship Id="rId70"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91"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45"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166"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187"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31"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52"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73"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 Type="http://schemas.openxmlformats.org/officeDocument/2006/relationships/customXml" Target="../customXml/item1.xml"/><Relationship Id="rId212"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233"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54" Type="http://schemas.openxmlformats.org/officeDocument/2006/relationships/hyperlink" Target="https://imconline-my.sharepoint.com/personal/taisookyee_tsaopaochee_com/_layouts/15/Doc.aspx?sourcedoc=%7B6FB90AAE-C25C-46FA-BD1F-42FF63C6AB1C%7D&amp;file=IW%20Programme%20Content%20Summary%20(Old).pptx&amp;action=edit&amp;mobileredirect=true&amp;DefaultItemOpen=1" TargetMode="External"/><Relationship Id="rId28"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49"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114"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275" Type="http://schemas.openxmlformats.org/officeDocument/2006/relationships/hyperlink" Target="https://outlook.office365.com/owa/?ItemID=AAMkADZkM2E4ODY5LTRlZjctNDYwYi05ZjZmLWY1Y2JjNDQ3YmY5OQBGAAAAAACw6n1e8xBCTZUZ2e%2fXKpJUBwDw6YY03VLLRpYNaUr0VNVqAAUiATkTAADw6YY03VLLRpYNaUr0VNVqAAXft1CAAAA%3d&amp;exvsurl=1&amp;viewmodel=ReadMessageItem" TargetMode="External"/><Relationship Id="rId296"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00"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60" Type="http://schemas.openxmlformats.org/officeDocument/2006/relationships/hyperlink" Target="https://teams.microsoft.com/l/message/19:be8f1f0adb094a3ab9b61030876db94a@thread.v2/1747363108473?context=%7B%22contextType%22:%22chat%22%7D" TargetMode="External"/><Relationship Id="rId81" Type="http://schemas.openxmlformats.org/officeDocument/2006/relationships/hyperlink" Target="https://teams.microsoft.com/l/message/19:c79f0a9fb9524a87a83f5d88795ab60f@thread.v2/1747360818035?context=%7B%22contextType%22:%22chat%22%7D" TargetMode="External"/><Relationship Id="rId135" Type="http://schemas.openxmlformats.org/officeDocument/2006/relationships/hyperlink" Target="https://teams.microsoft.com/l/message/19:c79f0a9fb9524a87a83f5d88795ab60f@thread.v2/1747360818035?context=%7B%22contextType%22:%22chat%22%7D" TargetMode="External"/><Relationship Id="rId156"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177"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198"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321"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42"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63"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202"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23"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244"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18"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39"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265" Type="http://schemas.openxmlformats.org/officeDocument/2006/relationships/hyperlink" Target="https://imconline-my.sharepoint.com/personal/lohniapjuan_tsaopaochee_com/Documents/Documents/IMC/P&amp;O/Appraisals/Kenneth%20ePCG.docx?web=1" TargetMode="External"/><Relationship Id="rId286" Type="http://schemas.openxmlformats.org/officeDocument/2006/relationships/hyperlink" Target="https://outlook.office365.com/owa/?ItemID=AAMkADZkM2E4ODY5LTRlZjctNDYwYi05ZjZmLWY1Y2JjNDQ3YmY5OQBGAAAAAACw6n1e8xBCTZUZ2e%2fXKpJUBwDw6YY03VLLRpYNaUr0VNVqAAUgjwSlAADw6YY03VLLRpYNaUr0VNVqAAWbeOxLAAA%3d&amp;exvsurl=1&amp;viewmodel=ReadMessageItem" TargetMode="External"/><Relationship Id="rId50"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104" Type="http://schemas.openxmlformats.org/officeDocument/2006/relationships/hyperlink" Target="https://teams.microsoft.com/l/message/19:c79f0a9fb9524a87a83f5d88795ab60f@thread.v2/1747360818035?context=%7B%22contextType%22:%22chat%22%7D" TargetMode="External"/><Relationship Id="rId125" Type="http://schemas.openxmlformats.org/officeDocument/2006/relationships/hyperlink" Target="https://outlook.office365.com/owa/?ItemID=AAMkADZkM2E4ODY5LTRlZjctNDYwYi05ZjZmLWY1Y2JjNDQ3YmY5OQBGAAAAAACw6n1e8xBCTZUZ2e%2fXKpJUBwCoq2fxLAaRRI%2bb5PHs4ignAAAAlYE%2bAADw6YY03VLLRpYNaUr0VNVqAAXJJLgJAAA%3d\&amp;exvsurl=1\&amp;viewmodel=ReadMessageItem" TargetMode="External"/><Relationship Id="rId146"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167"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188" Type="http://schemas.openxmlformats.org/officeDocument/2006/relationships/hyperlink" Target="https://teams.microsoft.com/l/message/19:c79f0a9fb9524a87a83f5d88795ab60f@thread.v2/1747360818035?context=%7B%22contextType%22:%22chat%22%7D" TargetMode="External"/><Relationship Id="rId311" Type="http://schemas.openxmlformats.org/officeDocument/2006/relationships/hyperlink" Target="https://outlook.office365.com/owa/?ItemID=AAMkADZkM2E4ODY5LTRlZjctNDYwYi05ZjZmLWY1Y2JjNDQ3YmY5OQBGAAAAAACw6n1e8xBCTZUZ2e%2fXKpJUBwDw6YY03VLLRpYNaUr0VNVqAAVAxAmQAADw6YY03VLLRpYNaUr0VNVqAAV5IG93AAA%3d&amp;exvsurl=1&amp;viewmodel=ReadMessageItem" TargetMode="External"/><Relationship Id="rId332"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53"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74"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71" Type="http://schemas.openxmlformats.org/officeDocument/2006/relationships/hyperlink" Target="https://teams.microsoft.com/l/message/19:c79f0a9fb9524a87a83f5d88795ab60f@thread.v2/1747360946127?context=%7B%22contextType%22:%22chat%22%7D" TargetMode="External"/><Relationship Id="rId92"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13"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34" Type="http://schemas.openxmlformats.org/officeDocument/2006/relationships/hyperlink" Target="https://outlook.office365.com/owa/?ItemID=AAMkADZkM2E4ODY5LTRlZjctNDYwYi05ZjZmLWY1Y2JjNDQ3YmY5OQBGAAAAAACw6n1e8xBCTZUZ2e%2fXKpJUBwDw6YY03VLLRpYNaUr0VNVqAAQx1FDuAADw6YY03VLLRpYNaUr0VNVqAAUEZIguAAA%3d&amp;exvsurl=1&amp;viewmodel=ReadMessageItem" TargetMode="External"/><Relationship Id="rId2" Type="http://schemas.openxmlformats.org/officeDocument/2006/relationships/customXml" Target="../customXml/item2.xml"/><Relationship Id="rId29" Type="http://schemas.openxmlformats.org/officeDocument/2006/relationships/hyperlink" Target="https://teams.microsoft.com/l/message/19:be8f1f0adb094a3ab9b61030876db94a@thread.v2/1747363108473?context=%7B%22contextType%22:%22chat%22%7D" TargetMode="External"/><Relationship Id="rId255" Type="http://schemas.openxmlformats.org/officeDocument/2006/relationships/hyperlink" Target="https://outlook.office365.com/owa/?ItemID=AAMkADZkM2E4ODY5LTRlZjctNDYwYi05ZjZmLWY1Y2JjNDQ3YmY5OQBGAAAAAACw6n1e8xBCTZUZ2e%2fXKpJUBwDw6YY03VLLRpYNaUr0VNVqAAUgjwSlAADw6YY03VLLRpYNaUr0VNVqAAWbeOxLAAA%3d&amp;exvsurl=1&amp;viewmodel=ReadMessageItem" TargetMode="External"/><Relationship Id="rId276"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297"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40"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115"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136" Type="http://schemas.openxmlformats.org/officeDocument/2006/relationships/hyperlink" Target="https://teams.microsoft.com/l/message/19:c79f0a9fb9524a87a83f5d88795ab60f@thread.v2/1747360818035?context=%7B%22contextType%22:%22chat%22%7D" TargetMode="External"/><Relationship Id="rId157"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178" Type="http://schemas.openxmlformats.org/officeDocument/2006/relationships/hyperlink" Target="https://outlook.office365.com/owa/?ItemID=AAMkADZkM2E4ODY5LTRlZjctNDYwYi05ZjZmLWY1Y2JjNDQ3YmY5OQBGAAAAAACw6n1e8xBCTZUZ2e%2fXKpJUBwCoq2fxLAaRRI%2bb5PHs4ignAAAAlYE9AADw6YY03VLLRpYNaUr0VNVqAATfN22ZAAA%3d\&amp;exvsurl=1\&amp;viewmodel=ReadMessageItem" TargetMode="External"/><Relationship Id="rId301"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22"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43"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64"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61" Type="http://schemas.openxmlformats.org/officeDocument/2006/relationships/hyperlink" Target="https://teams.microsoft.com/l/message/19:c79f0a9fb9524a87a83f5d88795ab60f@thread.v2/1747360946127?context=%7B%22contextType%22:%22chat%22%7D" TargetMode="External"/><Relationship Id="rId82" Type="http://schemas.openxmlformats.org/officeDocument/2006/relationships/hyperlink" Target="https://outlook.office365.com/owa/?ItemID=AAMkADZkM2E4ODY5LTRlZjctNDYwYi05ZjZmLWY1Y2JjNDQ3YmY5OQBGAAAAAACw6n1e8xBCTZUZ2e%2fXKpJUBwDw6YY03VLLRpYNaUr0VNVqAAUiATj8AADw6YY03VLLRpYNaUr0VNVqAAV0LdQdAAA%3d\&amp;exvsurl=1\&amp;viewmodel=ReadMessageItem" TargetMode="External"/><Relationship Id="rId199"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203"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19"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224" Type="http://schemas.openxmlformats.org/officeDocument/2006/relationships/hyperlink" Target="https://outlook.office365.com/owa/?ItemID=AAMkADZkM2E4ODY5LTRlZjctNDYwYi05ZjZmLWY1Y2JjNDQ3YmY5OQBGAAAAAACw6n1e8xBCTZUZ2e%2fXKpJUBwDw6YY03VLLRpYNaUr0VNVqAAUgjwSfAADw6YY03VLLRpYNaUr0VNVqAAVEy6%2b9AAA%3d&amp;exvsurl=1&amp;viewmodel=ReadMessageItem" TargetMode="External"/><Relationship Id="rId245"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66"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287" Type="http://schemas.openxmlformats.org/officeDocument/2006/relationships/hyperlink" Target="https://imconline-my.sharepoint.com/personal/lohniapjuan_tsaopaochee_com/Documents/Documents/IMC/P&amp;O/Appraisals/Kenneth%20ePCG.docx?web=1" TargetMode="External"/><Relationship Id="rId30" Type="http://schemas.openxmlformats.org/officeDocument/2006/relationships/hyperlink" Target="https://imconline.sharepoint.com/sites/IMCPAAandCorporate/Shared%20Documents/General/IMCPAA%20&amp;%20Corporate%20Meetings/2025-19.%2011-Sep%20Weekly%20TPC%20and%20Corporate%20Meeting%202025.pdf?web=1" TargetMode="External"/><Relationship Id="rId105" Type="http://schemas.openxmlformats.org/officeDocument/2006/relationships/hyperlink" Target="https://teams.microsoft.com/l/message/19:c79f0a9fb9524a87a83f5d88795ab60f@thread.v2/1747360818035?context=%7B%22contextType%22:%22chat%22%7D" TargetMode="External"/><Relationship Id="rId126"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147"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168"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312" Type="http://schemas.openxmlformats.org/officeDocument/2006/relationships/hyperlink" Target="https://imconline-my.sharepoint.com/personal/lohniapjuan_tsaopaochee_com/Documents/Attachments/Role%20Profile_Dy%20ED%20OCTAVE%20Institute%203%20July%202025.docx?web=1" TargetMode="External"/><Relationship Id="rId333"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54"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51" Type="http://schemas.openxmlformats.org/officeDocument/2006/relationships/hyperlink" Target="https://imconline.sharepoint.com/sites/IMCPAAandCorporate/Shared%20Documents/General/IMCPAA%20&amp;%20Corporate%20Meetings/2025-17.%2021-Aug%20Weekly%20TPC%20and%20Corporate%20Meeting%202025.pdf?web=1" TargetMode="External"/><Relationship Id="rId72" Type="http://schemas.openxmlformats.org/officeDocument/2006/relationships/hyperlink" Target="https://teams.microsoft.com/l/message/19:c79f0a9fb9524a87a83f5d88795ab60f@thread.v2/1747360946127?context=%7B%22contextType%22:%22chat%22%7D" TargetMode="External"/><Relationship Id="rId93"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189" Type="http://schemas.openxmlformats.org/officeDocument/2006/relationships/hyperlink" Target="https://teams.microsoft.com/l/message/19:c79f0a9fb9524a87a83f5d88795ab60f@thread.v2/1747360818035?context=%7B%22contextType%22:%22chat%22%7D" TargetMode="External"/><Relationship Id="rId375"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3" Type="http://schemas.openxmlformats.org/officeDocument/2006/relationships/customXml" Target="../customXml/item3.xml"/><Relationship Id="rId214" Type="http://schemas.openxmlformats.org/officeDocument/2006/relationships/hyperlink" Target="https://outlook.office365.com/owa/?ItemID=AAMkADZkM2E4ODY5LTRlZjctNDYwYi05ZjZmLWY1Y2JjNDQ3YmY5OQBGAAAAAACw6n1e8xBCTZUZ2e%2fXKpJUBwDw6YY03VLLRpYNaUr0VNVqAAQx1FDuAADw6YY03VLLRpYNaUr0VNVqAATj2KeZAAA%3d&amp;exvsurl=1&amp;viewmodel=ReadMessageItem" TargetMode="External"/><Relationship Id="rId235"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56"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277" Type="http://schemas.openxmlformats.org/officeDocument/2006/relationships/hyperlink" Target="https://outlook.office365.com/owa/?ItemID=AAMkADZkM2E4ODY5LTRlZjctNDYwYi05ZjZmLWY1Y2JjNDQ3YmY5OQBGAAAAAACw6n1e8xBCTZUZ2e%2fXKpJUBwDw6YY03VLLRpYNaUr0VNVqAAVAxAmQAADw6YY03VLLRpYNaUr0VNVqAAV5IG93AAA%3d&amp;exvsurl=1&amp;viewmodel=ReadMessageItem" TargetMode="External"/><Relationship Id="rId298"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116" Type="http://schemas.openxmlformats.org/officeDocument/2006/relationships/hyperlink" Target="https://teams.microsoft.com/l/message/19:c79f0a9fb9524a87a83f5d88795ab60f@thread.v2/1747360818035?context=%7B%22contextType%22:%22chat%22%7D" TargetMode="External"/><Relationship Id="rId137" Type="http://schemas.openxmlformats.org/officeDocument/2006/relationships/hyperlink" Target="https://teams.microsoft.com/l/message/19:c79f0a9fb9524a87a83f5d88795ab60f@thread.v2/1747360818035?context=%7B%22contextType%22:%22chat%22%7D" TargetMode="External"/><Relationship Id="rId158" Type="http://schemas.openxmlformats.org/officeDocument/2006/relationships/hyperlink" Target="https://outlook.office365.com/owa/?ItemID=AAMkADZkM2E4ODY5LTRlZjctNDYwYi05ZjZmLWY1Y2JjNDQ3YmY5OQBGAAAAAACw6n1e8xBCTZUZ2e%2fXKpJUBwDw6YY03VLLRpYNaUr0VNVqAAUoxSo2AADw6YY03VLLRpYNaUr0VNVqAAUqKH8LAAA%3d\&amp;exvsurl=1\&amp;viewmodel=ReadMessageItem" TargetMode="External"/><Relationship Id="rId302" Type="http://schemas.openxmlformats.org/officeDocument/2006/relationships/hyperlink" Target="https://outlook.office365.com/owa/?ItemID=AAMkADZkM2E4ODY5LTRlZjctNDYwYi05ZjZmLWY1Y2JjNDQ3YmY5OQBGAAAAAACw6n1e8xBCTZUZ2e%2fXKpJUBwDw6YY03VLLRpYNaUr0VNVqAAUgjwSlAADw6YY03VLLRpYNaUr0VNVqAAWbeOxLAAA%3d&amp;exvsurl=1&amp;viewmodel=ReadMessageItem" TargetMode="External"/><Relationship Id="rId323"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44"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20"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41"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62" Type="http://schemas.openxmlformats.org/officeDocument/2006/relationships/hyperlink" Target="https://teams.microsoft.com/l/message/19:c79f0a9fb9524a87a83f5d88795ab60f@thread.v2/1747360946127?context=%7B%22contextType%22:%22chat%22%7D" TargetMode="External"/><Relationship Id="rId83" Type="http://schemas.openxmlformats.org/officeDocument/2006/relationships/hyperlink" Target="https://outlook.office365.com/owa/?ItemID=AAMkADZkM2E4ODY5LTRlZjctNDYwYi05ZjZmLWY1Y2JjNDQ3YmY5OQBGAAAAAACw6n1e8xBCTZUZ2e%2fXKpJUBwDw6YY03VLLRpYNaUr0VNVqAAUiATj8AADw6YY03VLLRpYNaUr0VNVqAAV0LdQdAAA%3d\&amp;exvsurl=1\&amp;viewmodel=ReadMessageItem" TargetMode="External"/><Relationship Id="rId179"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65"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90"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04"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25" Type="http://schemas.openxmlformats.org/officeDocument/2006/relationships/hyperlink" Target="https://outlook.office365.com/owa/?ItemID=AAMkADZkM2E4ODY5LTRlZjctNDYwYi05ZjZmLWY1Y2JjNDQ3YmY5OQBGAAAAAACw6n1e8xBCTZUZ2e%2fXKpJUBwCoq2fxLAaRRI%2bb5PHs4ignAAAAlYE9AADw6YY03VLLRpYNaUr0VNVqAATfN22ZAAA%3d&amp;exvsurl=1&amp;viewmodel=ReadMessageItem" TargetMode="External"/><Relationship Id="rId246" Type="http://schemas.openxmlformats.org/officeDocument/2006/relationships/hyperlink" Target="https://outlook.office365.com/owa/?ItemID=AAMkADZkM2E4ODY5LTRlZjctNDYwYi05ZjZmLWY1Y2JjNDQ3YmY5OQBGAAAAAACw6n1e8xBCTZUZ2e%2fXKpJUBwDw6YY03VLLRpYNaUr0VNVqAAQx1FDuAADw6YY03VLLRpYNaUr0VNVqAAUEZIguAAA%3d&amp;exvsurl=1&amp;viewmodel=ReadMessageItem" TargetMode="External"/><Relationship Id="rId267" Type="http://schemas.openxmlformats.org/officeDocument/2006/relationships/hyperlink" Target="https://outlook.office365.com/owa/?ItemID=AAMkADZkM2E4ODY5LTRlZjctNDYwYi05ZjZmLWY1Y2JjNDQ3YmY5OQBGAAAAAACw6n1e8xBCTZUZ2e%2fXKpJUBwDw6YY03VLLRpYNaUr0VNVqAAQvIUL5AADw6YY03VLLRpYNaUr0VNVqAATCrTfHAAA%3d&amp;exvsurl=1&amp;viewmodel=ReadMessageItem" TargetMode="External"/><Relationship Id="rId288" Type="http://schemas.openxmlformats.org/officeDocument/2006/relationships/hyperlink" Target="https://imconline-my.sharepoint.com/personal/lohniapjuan_tsaopaochee_com/Documents/Documents/IMC/P&amp;O/Appraisals/Kenneth%20ePCG.docx?web=1" TargetMode="External"/><Relationship Id="rId106" Type="http://schemas.openxmlformats.org/officeDocument/2006/relationships/hyperlink" Target="https://teams.microsoft.com/l/message/19:c79f0a9fb9524a87a83f5d88795ab60f@thread.v2/1747360818035?context=%7B%22contextType%22:%22chat%22%7D" TargetMode="External"/><Relationship Id="rId127"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313" Type="http://schemas.openxmlformats.org/officeDocument/2006/relationships/hyperlink" Target="https://www.office.com/search?q=Kenneth+Tan&amp;EntityRepresentationId=527032d6-9cc6-4ba0-b16e-ec0efae70ad6" TargetMode="External"/><Relationship Id="rId10" Type="http://schemas.openxmlformats.org/officeDocument/2006/relationships/image" Target="media/image1.png"/><Relationship Id="rId31" Type="http://schemas.openxmlformats.org/officeDocument/2006/relationships/hyperlink" Target="https://imconline.sharepoint.com/sites/IMCPAAandCorporate/Shared%20Documents/General/IMCPAA%20&amp;%20Corporate%20Meetings/2025-19.%2011-Sep%20Weekly%20TPC%20and%20Corporate%20Meeting%202025.pdf?web=1" TargetMode="External"/><Relationship Id="rId52"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73" Type="http://schemas.openxmlformats.org/officeDocument/2006/relationships/hyperlink" Target="https://teams.microsoft.com/l/message/19:c79f0a9fb9524a87a83f5d88795ab60f@thread.v2/1747360946127?context=%7B%22contextType%22:%22chat%22%7D" TargetMode="External"/><Relationship Id="rId94"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48"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169" Type="http://schemas.openxmlformats.org/officeDocument/2006/relationships/hyperlink" Target="https://outlook.office365.com/owa/?ItemID=AAMkADZkM2E4ODY5LTRlZjctNDYwYi05ZjZmLWY1Y2JjNDQ3YmY5OQBGAAAAAACw6n1e8xBCTZUZ2e%2fXKpJUBwDw6YY03VLLRpYNaUr0VNVqAAUgjwSfAADw6YY03VLLRpYNaUr0VNVqAAVEy6%2b9AAA%3d\&amp;exvsurl=1\&amp;viewmodel=ReadMessageItem" TargetMode="External"/><Relationship Id="rId334"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55"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76"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4" Type="http://schemas.openxmlformats.org/officeDocument/2006/relationships/numbering" Target="numbering.xml"/><Relationship Id="rId180" Type="http://schemas.openxmlformats.org/officeDocument/2006/relationships/hyperlink" Target="https://outlook.office365.com/owa/?ItemID=AAMkADZkM2E4ODY5LTRlZjctNDYwYi05ZjZmLWY1Y2JjNDQ3YmY5OQBGAAAAAACw6n1e8xBCTZUZ2e%2fXKpJUBwDw6YY03VLLRpYNaUr0VNVqAAUiATj8AADw6YY03VLLRpYNaUr0VNVqAAV0LdQdAAA%3d\&amp;exvsurl=1\&amp;viewmodel=ReadMessageItem" TargetMode="External"/><Relationship Id="rId215" Type="http://schemas.openxmlformats.org/officeDocument/2006/relationships/hyperlink" Target="https://outlook.office365.com/owa/?ItemID=AAMkADZkM2E4ODY5LTRlZjctNDYwYi05ZjZmLWY1Y2JjNDQ3YmY5OQBGAAAAAACw6n1e8xBCTZUZ2e%2fXKpJUBwDw6YY03VLLRpYNaUr0VNVqAAUiATj8AADw6YY03VLLRpYNaUr0VNVqAAV0LdQvAAA%3d&amp;exvsurl=1&amp;viewmodel=ReadMessageItem" TargetMode="External"/><Relationship Id="rId236"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257" Type="http://schemas.openxmlformats.org/officeDocument/2006/relationships/hyperlink" Target="https://outlook.office365.com/owa/?ItemID=AAMkADZkM2E4ODY5LTRlZjctNDYwYi05ZjZmLWY1Y2JjNDQ3YmY5OQBGAAAAAACw6n1e8xBCTZUZ2e%2fXKpJUBwDw6YY03VLLRpYNaUr0VNVqAAWbXN2kAADw6YY03VLLRpYNaUr0VNVqAAXjcMccAAA%3d&amp;exvsurl=1&amp;viewmodel=ReadMessageItem" TargetMode="External"/><Relationship Id="rId278"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303"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42" Type="http://schemas.openxmlformats.org/officeDocument/2006/relationships/hyperlink" Target="https://imconline.sharepoint.com/sites/IMCPAAandCorporate/Shared%20Documents/General/IMCPAA%20&amp;%20Corporate%20Meetings/2025-15.%2024-Jul%20Weekly%20TPC%20and%20Corporate%20Meeting%202025.pdf?web=1" TargetMode="External"/><Relationship Id="rId84"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38"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45"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191"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205" Type="http://schemas.openxmlformats.org/officeDocument/2006/relationships/hyperlink" Target="https://outlook.office365.com/owa/?ItemID=AAMkADZkM2E4ODY5LTRlZjctNDYwYi05ZjZmLWY1Y2JjNDQ3YmY5OQBGAAAAAACw6n1e8xBCTZUZ2e%2fXKpJUBwDw6YY03VLLRpYNaUr0VNVqAAUgjwSfAADw6YY03VLLRpYNaUr0VNVqAAVEy6%2b9AAA%3d\&amp;exvsurl=1\&amp;viewmodel=ReadMessageItem" TargetMode="External"/><Relationship Id="rId247"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107" Type="http://schemas.openxmlformats.org/officeDocument/2006/relationships/hyperlink" Target="https://teams.microsoft.com/l/message/19:c79f0a9fb9524a87a83f5d88795ab60f@thread.v2/1747360818035?context=%7B%22contextType%22:%22chat%22%7D" TargetMode="External"/><Relationship Id="rId289" Type="http://schemas.openxmlformats.org/officeDocument/2006/relationships/hyperlink" Target="https://outlook.office365.com/owa/?ItemID=AAMkADZkM2E4ODY5LTRlZjctNDYwYi05ZjZmLWY1Y2JjNDQ3YmY5OQBGAAAAAACw6n1e8xBCTZUZ2e%2fXKpJUBwCoq2fxLAaRRI%2bb5PHs4ignAAAAlYE9AADw6YY03VLLRpYNaUr0VNVqAAV3R2xkAAA%3d&amp;exvsurl=1&amp;viewmodel=ReadMessageItem" TargetMode="External"/><Relationship Id="rId11"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53" Type="http://schemas.openxmlformats.org/officeDocument/2006/relationships/hyperlink" Target="https://imconline.sharepoint.com/sites/IMCPAAandCorporate/Shared%20Documents/General/IMCPAA%20&amp;%20Corporate%20Meetings/2025-05.%2020-Mar%20Weekly%20TPC%20and%20Corporate%20Meeting%202025.pdf?web=1" TargetMode="External"/><Relationship Id="rId149"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314"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356"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95"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60"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216"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258" Type="http://schemas.openxmlformats.org/officeDocument/2006/relationships/hyperlink" Target="https://outlook.office365.com/owa/?ItemID=AAMkADZkM2E4ODY5LTRlZjctNDYwYi05ZjZmLWY1Y2JjNDQ3YmY5OQBGAAAAAACw6n1e8xBCTZUZ2e%2fXKpJUBwDw6YY03VLLRpYNaUr0VNVqAAWbXN2kAADw6YY03VLLRpYNaUr0VNVqAAXjcMccAAA%3d&amp;exvsurl=1&amp;viewmodel=ReadMessageItem" TargetMode="External"/><Relationship Id="rId22"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64" Type="http://schemas.openxmlformats.org/officeDocument/2006/relationships/hyperlink" Target="https://imconline.sharepoint.com/sites/IMCPAAandCorporate/Shared%20Documents/General/IMCPAA%20&amp;%20Corporate%20Meetings/2025-13.%2010-Jul%20Weekly%20TPC%20and%20Corporate%20Meeting%202025.pdf?web=1" TargetMode="External"/><Relationship Id="rId118"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325"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67"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71"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227"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269"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3" Type="http://schemas.openxmlformats.org/officeDocument/2006/relationships/hyperlink" Target="https://imconline-my.sharepoint.com/personal/lohniapjuan_tsaopaochee_com/Documents/Documents/IMC/Aitia/QL/QL%20Design%20Nov%202023.pptx?web=1" TargetMode="External"/><Relationship Id="rId129" Type="http://schemas.openxmlformats.org/officeDocument/2006/relationships/hyperlink" Target="https://teams.microsoft.com/l/message/19:c79f0a9fb9524a87a83f5d88795ab60f@thread.v2/1747360818035?context=%7B%22contextType%22:%22chat%22%7D" TargetMode="External"/><Relationship Id="rId280" Type="http://schemas.openxmlformats.org/officeDocument/2006/relationships/hyperlink" Target="https://imconline-my.sharepoint.com/personal/lohniapjuan_tsaopaochee_com/Documents/Attachments/Role%20Profile_Dy%20ED%20OCTAVE%20Institute%203%20July%202025.docx?web=1" TargetMode="External"/><Relationship Id="rId336"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75" Type="http://schemas.openxmlformats.org/officeDocument/2006/relationships/hyperlink" Target="https://teams.microsoft.com/l/message/19:c79f0a9fb9524a87a83f5d88795ab60f@thread.v2/1747360946127?context=%7B%22contextType%22:%22chat%22%7D" TargetMode="External"/><Relationship Id="rId140"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182"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378"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6" Type="http://schemas.openxmlformats.org/officeDocument/2006/relationships/settings" Target="settings.xml"/><Relationship Id="rId238" Type="http://schemas.openxmlformats.org/officeDocument/2006/relationships/hyperlink" Target="https://imconline.sharepoint.com/sites/OctaveInstitute/_layouts/15/Doc.aspx?sourcedoc=%7BDC626976-2E9B-4ED7-879C-93E542F969C0%7D&amp;file=FinanceTOM.pptx&amp;action=edit&amp;mobileredirect=true&amp;DefaultItemOpen=1" TargetMode="External"/><Relationship Id="rId291" Type="http://schemas.openxmlformats.org/officeDocument/2006/relationships/hyperlink" Target="https://outlook.office365.com/owa/?ItemID=AAMkADZkM2E4ODY5LTRlZjctNDYwYi05ZjZmLWY1Y2JjNDQ3YmY5OQBGAAAAAACw6n1e8xBCTZUZ2e%2fXKpJUBwDw6YY03VLLRpYNaUr0VNVqAAUiATkTAADw6YY03VLLRpYNaUr0VNVqAAXQXodWAAA%3d&amp;exvsurl=1&amp;viewmodel=ReadMessageItem" TargetMode="External"/><Relationship Id="rId305" Type="http://schemas.openxmlformats.org/officeDocument/2006/relationships/hyperlink" Target="https://imconline-my.sharepoint.com/personal/lohniapjuan_tsaopaochee_com/Documents/Documents/IMC/P&amp;O/Appraisals/Kenneth%20ePCG.docx?web=1" TargetMode="External"/><Relationship Id="rId347"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44" Type="http://schemas.openxmlformats.org/officeDocument/2006/relationships/hyperlink" Target="https://imconline.sharepoint.com/sites/IMCPAAandCorporate/Shared%20Documents/General/IMCPAA%20&amp;%20Corporate%20Meetings/2025-09.%2022-May%20Weekly%20TPC%20and%20Corporate%20Meeting%202025.pdf?web=1" TargetMode="External"/><Relationship Id="rId86" Type="http://schemas.openxmlformats.org/officeDocument/2006/relationships/hyperlink" Target="https://outlook.office365.com/owa/?ItemID=AAMkADZkM2E4ODY5LTRlZjctNDYwYi05ZjZmLWY1Y2JjNDQ3YmY5OQBGAAAAAACw6n1e8xBCTZUZ2e%2fXKpJUBwDw6YY03VLLRpYNaUr0VNVqAAUiATj8AADw6YY03VLLRpYNaUr0VNVqAAV0LdQdAAA%3d\&amp;exvsurl=1\&amp;viewmodel=ReadMessageItem" TargetMode="External"/><Relationship Id="rId151"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193" Type="http://schemas.openxmlformats.org/officeDocument/2006/relationships/hyperlink" Target="https://outlook.office365.com/owa/?ItemID=AAMkADZkM2E4ODY5LTRlZjctNDYwYi05ZjZmLWY1Y2JjNDQ3YmY5OQBGAAAAAACw6n1e8xBCTZUZ2e%2fXKpJUBwCoq2fxLAaRRI%2bb5PHs4ignAAAAlYE9AADw6YY03VLLRpYNaUr0VNVqAAV2MwyPAAA%3d\&amp;exvsurl=1\&amp;viewmodel=ReadMessageItem" TargetMode="External"/><Relationship Id="rId207" Type="http://schemas.openxmlformats.org/officeDocument/2006/relationships/hyperlink" Target="https://outlook.office365.com/owa/?ItemID=AAMkADZkM2E4ODY5LTRlZjctNDYwYi05ZjZmLWY1Y2JjNDQ3YmY5OQBGAAAAAACw6n1e8xBCTZUZ2e%2fXKpJUBwDw6YY03VLLRpYNaUr0VNVqAAUgjwSlAADw6YY03VLLRpYNaUr0VNVqAAWbWwlXAAA%3d\&amp;exvsurl=1\&amp;viewmodel=ReadMessageItem" TargetMode="External"/><Relationship Id="rId249" Type="http://schemas.openxmlformats.org/officeDocument/2006/relationships/hyperlink" Target="https://outlook.office365.com/owa/?ItemID=AAMkADZkM2E4ODY5LTRlZjctNDYwYi05ZjZmLWY1Y2JjNDQ3YmY5OQBGAAAAAACw6n1e8xBCTZUZ2e%2fXKpJUBwDw6YY03VLLRpYNaUr0VNVqAAUgjwSZAADw6YY03VLLRpYNaUr0VNVqAAWGGuTQAAA%3d&amp;exvsurl=1&amp;viewmodel=ReadMessageItem" TargetMode="External"/><Relationship Id="rId13" Type="http://schemas.openxmlformats.org/officeDocument/2006/relationships/hyperlink" Target="https://imconline.sharepoint.com/sites/IMCPAAandCorporate/Shared%20Documents/General/IMCPAA%20&amp;%20Corporate%20Meetings/2025-19.%2011-Sep%20Weekly%20TPC%20and%20Corporate%20Meeting%202025.pdf?web=1" TargetMode="External"/><Relationship Id="rId109" Type="http://schemas.openxmlformats.org/officeDocument/2006/relationships/hyperlink" Target="https://imconline-my.sharepoint.com/personal/kennethtan_octaveinstitute_com/_layouts/15/Doc.aspx?sourcedoc=%7B828DF39D-1C31-45F7-9A54-BABFA1A5344E%7D\&amp;file=Octave%20Institute%20GOC%20Updates%209%20Mar%202024.pptx\&amp;action=edit\&amp;mobileredirect=true\&amp;DefaultItemOpen=1" TargetMode="External"/><Relationship Id="rId260" Type="http://schemas.openxmlformats.org/officeDocument/2006/relationships/hyperlink" Target="https://outlook.office365.com/owa/?ItemID=AAMkADZkM2E4ODY5LTRlZjctNDYwYi05ZjZmLWY1Y2JjNDQ3YmY5OQBGAAAAAACw6n1e8xBCTZUZ2e%2fXKpJUBwDw6YY03VLLRpYNaUr0VNVqAAWbXN2kAADw6YY03VLLRpYNaUr0VNVqAAXjcMccAAA%3d&amp;exvsurl=1&amp;viewmodel=ReadMessageItem" TargetMode="External"/><Relationship Id="rId316"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55" Type="http://schemas.openxmlformats.org/officeDocument/2006/relationships/hyperlink" Target="https://imconline.sharepoint.com/sites/IMCPAAandCorporate/Shared%20Documents/General/IMCPAA%20&amp;%20Corporate%20Meetings/2025-23.%2022-Oct%20Weekly%20TPC%20and%20Corporate%20Meeting%202025.pdf?web=1" TargetMode="External"/><Relationship Id="rId97" Type="http://schemas.openxmlformats.org/officeDocument/2006/relationships/hyperlink" Target="https://outlook.office365.com/owa/?ItemID=AAMkADZkM2E4ODY5LTRlZjctNDYwYi05ZjZmLWY1Y2JjNDQ3YmY5OQBGAAAAAACw6n1e8xBCTZUZ2e%2fXKpJUBwDw6YY03VLLRpYNaUr0VNVqAAQx1FDuAADw6YY03VLLRpYNaUr0VNVqAATj2KeZAAA%3d\&amp;exvsurl=1\&amp;viewmodel=ReadMessageItem" TargetMode="External"/><Relationship Id="rId120"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58"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162"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18" Type="http://schemas.openxmlformats.org/officeDocument/2006/relationships/hyperlink" Target="https://outlook.office365.com/owa/?ItemID=AAMkADZkM2E4ODY5LTRlZjctNDYwYi05ZjZmLWY1Y2JjNDQ3YmY5OQBGAAAAAACw6n1e8xBCTZUZ2e%2fXKpJUBwCoq2fxLAaRRI%2bb5PHs4ignAAAAlYE9AADw6YY03VLLRpYNaUr0VNVqAAV2MwyPAAA%3d&amp;exvsurl=1&amp;viewmodel=ReadMessageItem" TargetMode="External"/><Relationship Id="rId271"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24" Type="http://schemas.openxmlformats.org/officeDocument/2006/relationships/hyperlink" Target="https://teams.microsoft.com/l/message/19:c79f0a9fb9524a87a83f5d88795ab60f@thread.v2/1747360946127?context=%7B%22contextType%22:%22chat%22%7D" TargetMode="External"/><Relationship Id="rId66" Type="http://schemas.openxmlformats.org/officeDocument/2006/relationships/hyperlink" Target="https://imconline.sharepoint.com/sites/IMCPAAandCorporate/Shared%20Documents/General/IMCPAA%20&amp;%20Corporate%20Meetings/2025-19.%2011-Sep%20Weekly%20TPC%20and%20Corporate%20Meeting%202025.pdf?web=1" TargetMode="External"/><Relationship Id="rId131" Type="http://schemas.openxmlformats.org/officeDocument/2006/relationships/hyperlink" Target="https://outlook.office365.com/owa/?ItemID=AAMkADZkM2E4ODY5LTRlZjctNDYwYi05ZjZmLWY1Y2JjNDQ3YmY5OQBGAAAAAACw6n1e8xBCTZUZ2e%2fXKpJUBwCoq2fxLAaRRI%2bb5PHs4ignAAAAlYE9AADw6YY03VLLRpYNaUr0VNVqAAV2MwyPAAA%3d\&amp;exvsurl=1\&amp;viewmodel=ReadMessageItem" TargetMode="External"/><Relationship Id="rId327"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69"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173" Type="http://schemas.openxmlformats.org/officeDocument/2006/relationships/hyperlink" Target="https://outlook.office365.com/owa/?ItemID=AAMkADZkM2E4ODY5LTRlZjctNDYwYi05ZjZmLWY1Y2JjNDQ3YmY5OQBGAAAAAACw6n1e8xBCTZUZ2e%2fXKpJUBwCoq2fxLAaRRI%2bb5PHs4ignAAAAlYE9AADw6YY03VLLRpYNaUr0VNVqAATfN22ZAAA%3d\&amp;exvsurl=1\&amp;viewmodel=ReadMessageItem" TargetMode="External"/><Relationship Id="rId229" Type="http://schemas.openxmlformats.org/officeDocument/2006/relationships/hyperlink" Target="https://outlook.office365.com/owa/?ItemID=AAMkADZkM2E4ODY5LTRlZjctNDYwYi05ZjZmLWY1Y2JjNDQ3YmY5OQBGAAAAAACw6n1e8xBCTZUZ2e%2fXKpJUBwDw6YY03VLLRpYNaUr0VNVqAAVqk5KNAADw6YY03VLLRpYNaUr0VNVqAAWJaVajAAA%3d&amp;exvsurl=1&amp;viewmodel=ReadMessageItem" TargetMode="External"/><Relationship Id="rId380" Type="http://schemas.openxmlformats.org/officeDocument/2006/relationships/image" Target="media/image3.png"/><Relationship Id="rId240"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35" Type="http://schemas.openxmlformats.org/officeDocument/2006/relationships/hyperlink" Target="https://www.office.com/search?q=Chavalit+Tsao\&amp;EntityRepresentationId=7da11191-0d39-4a2b-8849-baba7131e258" TargetMode="External"/><Relationship Id="rId77"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00" Type="http://schemas.openxmlformats.org/officeDocument/2006/relationships/hyperlink" Target="https://teams.microsoft.com/l/message/19:c79f0a9fb9524a87a83f5d88795ab60f@thread.v2/1747360818035?context=%7B%22contextType%22:%22chat%22%7D" TargetMode="External"/><Relationship Id="rId282"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38" Type="http://schemas.openxmlformats.org/officeDocument/2006/relationships/hyperlink" Target="https://outlook.office365.com/owa/?ItemID=AAMkADZkM2E4ODY5LTRlZjctNDYwYi05ZjZmLWY1Y2JjNDQ3YmY5OQBGAAAAAACw6n1e8xBCTZUZ2e%2fXKpJUBwDw6YY03VLLRpYNaUr0VNVqAAXaVCZAAADw6YY03VLLRpYNaUr0VNVqAAXgZtPoAAA%3d&amp;exvsurl=1&amp;viewmodel=ReadMessageItem" TargetMode="External"/><Relationship Id="rId8" Type="http://schemas.openxmlformats.org/officeDocument/2006/relationships/hyperlink" Target="https://www.office.com/search?q=Kenneth+Tan\&amp;EntityRepresentationId=527032d6-9cc6-4ba0-b16e-ec0efae70ad6" TargetMode="External"/><Relationship Id="rId142" Type="http://schemas.openxmlformats.org/officeDocument/2006/relationships/hyperlink" Target="https://teams.microsoft.com/l/message/19:c79f0a9fb9524a87a83f5d88795ab60f@thread.v2/1747360818035?context=%7B%22contextType%22:%22chat%22%7D" TargetMode="External"/><Relationship Id="rId184" Type="http://schemas.openxmlformats.org/officeDocument/2006/relationships/hyperlink" Target="https://outlook.office365.com/owa/?ItemID=AAMkADZkM2E4ODY5LTRlZjctNDYwYi05ZjZmLWY1Y2JjNDQ3YmY5OQBGAAAAAACw6n1e8xBCTZUZ2e%2fXKpJUBwDw6YY03VLLRpYNaUr0VNVqAAUiATkTAADw6YY03VLLRpYNaUr0VNVqAAXVof6fAAA%3d\&amp;exvsurl=1\&amp;viewmodel=ReadMessageItem" TargetMode="External"/><Relationship Id="rId251" Type="http://schemas.openxmlformats.org/officeDocument/2006/relationships/hyperlink" Target="https://outlook.office365.com/owa/?ItemID=AAMkADZkM2E4ODY5LTRlZjctNDYwYi05ZjZmLWY1Y2JjNDQ3YmY5OQBGAAAAAACw6n1e8xBCTZUZ2e%2fXKpJUBwDw6YY03VLLRpYNaUr0VNVqAAUysn1mAADw6YY03VLLRpYNaUr0VNVqAAXjcMLdAAA%3d&amp;exvsurl=1&amp;viewmodel=ReadMessageItem" TargetMode="External"/><Relationship Id="rId46" Type="http://schemas.openxmlformats.org/officeDocument/2006/relationships/hyperlink" Target="https://imconline.sharepoint.com/sites/IMCPAAandCorporate/Shared%20Documents/General/IMCPAA%20&amp;%20Corporate%20Meetings/2025-09.%2022-May%20Weekly%20TPC%20and%20Corporate%20Meeting%202025.pdf?web=1" TargetMode="External"/><Relationship Id="rId293" Type="http://schemas.openxmlformats.org/officeDocument/2006/relationships/hyperlink" Target="https://outlook.office365.com/owa/?ItemID=AAMkADZkM2E4ODY5LTRlZjctNDYwYi05ZjZmLWY1Y2JjNDQ3YmY5OQBGAAAAAACw6n1e8xBCTZUZ2e%2fXKpJUBwDw6YY03VLLRpYNaUr0VNVqAAUiATkTAADw6YY03VLLRpYNaUr0VNVqAAXVof6cAAA%3d&amp;exvsurl=1&amp;viewmodel=ReadMessageItem" TargetMode="External"/><Relationship Id="rId307" Type="http://schemas.openxmlformats.org/officeDocument/2006/relationships/hyperlink" Target="https://outlook.office365.com/owa/?ItemID=AAMkADZkM2E4ODY5LTRlZjctNDYwYi05ZjZmLWY1Y2JjNDQ3YmY5OQBGAAAAAACw6n1e8xBCTZUZ2e%2fXKpJUBwDw6YY03VLLRpYNaUr0VNVqAAQvIUL5AADw6YY03VLLRpYNaUr0VNVqAATCrTfHAAA%3d&amp;exvsurl=1&amp;viewmodel=ReadMessageItem" TargetMode="External"/><Relationship Id="rId349"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88" Type="http://schemas.openxmlformats.org/officeDocument/2006/relationships/hyperlink" Target="https://outlook.office365.com/owa/?ItemID=AAMkADZkM2E4ODY5LTRlZjctNDYwYi05ZjZmLWY1Y2JjNDQ3YmY5OQBGAAAAAACw6n1e8xBCTZUZ2e%2fXKpJUBwDw6YY03VLLRpYNaUr0VNVqAAUgjwScAADw6YY03VLLRpYNaUr0VNVqAAVVBFozAAA%3d\&amp;exvsurl=1\&amp;viewmodel=ReadMessageItem" TargetMode="External"/><Relationship Id="rId111" Type="http://schemas.openxmlformats.org/officeDocument/2006/relationships/hyperlink" Target="https://teams.microsoft.com/l/message/19:c79f0a9fb9524a87a83f5d88795ab60f@thread.v2/1747360818035?context=%7B%22contextType%22:%22chat%22%7D" TargetMode="External"/><Relationship Id="rId153"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95" Type="http://schemas.openxmlformats.org/officeDocument/2006/relationships/hyperlink" Target="https://teams.microsoft.com/l/message/19:c79f0a9fb9524a87a83f5d88795ab60f@thread.v2/1747360818035?context=%7B%22contextType%22:%22chat%22%7D" TargetMode="External"/><Relationship Id="rId209"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60"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220" Type="http://schemas.openxmlformats.org/officeDocument/2006/relationships/hyperlink" Target="https://outlook.office365.com/owa/?ItemID=AAMkADZkM2E4ODY5LTRlZjctNDYwYi05ZjZmLWY1Y2JjNDQ3YmY5OQBGAAAAAACw6n1e8xBCTZUZ2e%2fXKpJUBwCoq2fxLAaRRI%2bb5PHs4ignAAAAlYE%2bAADw6YY03VLLRpYNaUr0VNVqAAXJJLgJAAA%3d&amp;exvsurl=1&amp;viewmodel=ReadMessageItem" TargetMode="External"/><Relationship Id="rId15" Type="http://schemas.openxmlformats.org/officeDocument/2006/relationships/hyperlink" Target="https://teams.microsoft.com/l/message/19:c79f0a9fb9524a87a83f5d88795ab60f@thread.v2/1747360946127?context=%7B%22contextType%22:%22chat%22%7D" TargetMode="External"/><Relationship Id="rId57" Type="http://schemas.openxmlformats.org/officeDocument/2006/relationships/hyperlink" Target="https://teams.microsoft.com/l/message/19:c79f0a9fb9524a87a83f5d88795ab60f@thread.v2/1747360946127?context=%7B%22contextType%22:%22chat%22%7D" TargetMode="External"/><Relationship Id="rId262" Type="http://schemas.openxmlformats.org/officeDocument/2006/relationships/hyperlink" Target="https://imconline-my.sharepoint.com/personal/lohniapjuan_tsaopaochee_com/Documents/Documents/IMC/P&amp;O/Appraisals/Kenneth%20ePCG.docx?web=1" TargetMode="External"/><Relationship Id="rId318"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99"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122" Type="http://schemas.openxmlformats.org/officeDocument/2006/relationships/hyperlink" Target="https://outlook.office365.com/owa/?ItemID=AAMkADZkM2E4ODY5LTRlZjctNDYwYi05ZjZmLWY1Y2JjNDQ3YmY5OQBGAAAAAACw6n1e8xBCTZUZ2e%2fXKpJUBwDw6YY03VLLRpYNaUr0VNVqAAUgjwSZAADw6YY03VLLRpYNaUr0VNVqAAWGGuTQAAA%3d\&amp;exvsurl=1\&amp;viewmodel=ReadMessageItem" TargetMode="External"/><Relationship Id="rId164" Type="http://schemas.openxmlformats.org/officeDocument/2006/relationships/hyperlink" Target="https://outlook.office365.com/owa/?ItemID=AAMkADZkM2E4ODY5LTRlZjctNDYwYi05ZjZmLWY1Y2JjNDQ3YmY5OQBGAAAAAACw6n1e8xBCTZUZ2e%2fXKpJUBwDw6YY03VLLRpYNaUr0VNVqAAVAxAmXAADw6YY03VLLRpYNaUr0VNVqAAXQXn9FAAA%3d\&amp;exvsurl=1\&amp;viewmodel=ReadMessageItem" TargetMode="External"/><Relationship Id="rId371" Type="http://schemas.openxmlformats.org/officeDocument/2006/relationships/hyperlink" Target="https://teams.microsoft.com/l/meeting/details?eventId=AAMkADZkM2E4ODY5LTRlZjctNDYwYi05ZjZmLWY1Y2JjNDQ3YmY5OQBGAAAAAACw6n1e8xBCTZUZ2e-XKpJUBwCoq2fxLAaRRI_b5PHs4ignAAAAlYFEAADw6YY03VLLRpYNaUr0VNVqAAXgZgUpAAA%3d" TargetMode="External"/><Relationship Id="rId384" Type="http://schemas.openxmlformats.org/officeDocument/2006/relationships/header" Target="header1.xml"/><Relationship Id="rId385" Type="http://schemas.openxmlformats.org/officeDocument/2006/relationships/header" Target="header2.xml"/><Relationship Id="rId386" Type="http://schemas.openxmlformats.org/officeDocument/2006/relationships/header" Target="header3.xml"/><Relationship Id="rId387" Type="http://schemas.openxmlformats.org/officeDocument/2006/relationships/footer" Target="footer1.xml"/><Relationship Id="rId388" Type="http://schemas.openxmlformats.org/officeDocument/2006/relationships/footer" Target="footer2.xml"/><Relationship Id="rId38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82B91F52E414CB000F3A4F063C5D3" ma:contentTypeVersion="18" ma:contentTypeDescription="Create a new document." ma:contentTypeScope="" ma:versionID="28f2f36069c884baa9c6bbd23cd3d36e">
  <xsd:schema xmlns:xsd="http://www.w3.org/2001/XMLSchema" xmlns:xs="http://www.w3.org/2001/XMLSchema" xmlns:p="http://schemas.microsoft.com/office/2006/metadata/properties" xmlns:ns1="http://schemas.microsoft.com/sharepoint/v3" xmlns:ns2="fa3ead5c-e467-4d4a-8add-ab7c225b7e57" xmlns:ns3="8d69586e-54b3-449b-a5ad-9db0d2b48ffc" targetNamespace="http://schemas.microsoft.com/office/2006/metadata/properties" ma:root="true" ma:fieldsID="71ef4c11247460d2359fbbfa6365513b" ns1:_="" ns2:_="" ns3:_="">
    <xsd:import namespace="http://schemas.microsoft.com/sharepoint/v3"/>
    <xsd:import namespace="fa3ead5c-e467-4d4a-8add-ab7c225b7e57"/>
    <xsd:import namespace="8d69586e-54b3-449b-a5ad-9db0d2b48f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3ead5c-e467-4d4a-8add-ab7c225b7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9a1c7d-5f2d-439f-9fa1-f86c672efc7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69586e-54b3-449b-a5ad-9db0d2b48f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bd42414-56a7-4f89-83dd-15695992c6a1}" ma:internalName="TaxCatchAll" ma:showField="CatchAllData" ma:web="8d69586e-54b3-449b-a5ad-9db0d2b48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3ead5c-e467-4d4a-8add-ab7c225b7e57">
      <Terms xmlns="http://schemas.microsoft.com/office/infopath/2007/PartnerControls"/>
    </lcf76f155ced4ddcb4097134ff3c332f>
    <TaxCatchAll xmlns="8d69586e-54b3-449b-a5ad-9db0d2b48ff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413BA70-FECF-407E-B604-191A674D47D7}"/>
</file>

<file path=customXml/itemProps2.xml><?xml version="1.0" encoding="utf-8"?>
<ds:datastoreItem xmlns:ds="http://schemas.openxmlformats.org/officeDocument/2006/customXml" ds:itemID="{D6EF206B-A4BB-470F-A032-8FD712802EB3}">
  <ds:schemaRefs>
    <ds:schemaRef ds:uri="http://schemas.microsoft.com/sharepoint/v3/contenttype/forms"/>
  </ds:schemaRefs>
</ds:datastoreItem>
</file>

<file path=customXml/itemProps3.xml><?xml version="1.0" encoding="utf-8"?>
<ds:datastoreItem xmlns:ds="http://schemas.openxmlformats.org/officeDocument/2006/customXml" ds:itemID="{43081AD2-50A7-46E9-BF6D-D3C40CB12103}">
  <ds:schemaRefs>
    <ds:schemaRef ds:uri="http://schemas.microsoft.com/office/2006/metadata/properties"/>
    <ds:schemaRef ds:uri="http://schemas.microsoft.com/office/infopath/2007/PartnerControls"/>
    <ds:schemaRef ds:uri="270befec-a579-4f9f-9f95-135104b084cb"/>
    <ds:schemaRef ds:uri="405f13ad-ccdb-4333-89a5-d08202a61f1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47136</Words>
  <Characters>268679</Characters>
  <Application>Microsoft Office Word</Application>
  <DocSecurity>0</DocSecurity>
  <Lines>2238</Lines>
  <Paragraphs>630</Paragraphs>
  <ScaleCrop>false</ScaleCrop>
  <Company/>
  <LinksUpToDate>false</LinksUpToDate>
  <CharactersWithSpaces>315185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Careen Tan</cp:lastModifiedBy>
  <cp:revision>17</cp:revision>
  <dcterms:created xsi:type="dcterms:W3CDTF">2025-11-07T06:33:00Z</dcterms:created>
  <dcterms:modified xsi:type="dcterms:W3CDTF">2025-11-07T06:33:00Z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0x010100E8682B91F52E414CB000F3A4F063C5D3</vt:lpwstr>
  </property>
  <property fmtid="{D5CDD505-2E9C-101B-9397-08002B2CF9AE}" pid="3" name="MSIP_Label_3cf60f09-0569-4b45-9873-2c9c1ef9f1e0_Enabled">
    <vt:lpwstr>true</vt:lpwstr>
  </property>
  <property fmtid="{D5CDD505-2E9C-101B-9397-08002B2CF9AE}" pid="4" name="MSIP_Label_3cf60f09-0569-4b45-9873-2c9c1ef9f1e0_SetDate">
    <vt:lpwstr>2025-11-07T06:33:40Z</vt:lpwstr>
  </property>
  <property fmtid="{D5CDD505-2E9C-101B-9397-08002B2CF9AE}" pid="5" name="MSIP_Label_3cf60f09-0569-4b45-9873-2c9c1ef9f1e0_Method">
    <vt:lpwstr>Standard</vt:lpwstr>
  </property>
  <property fmtid="{D5CDD505-2E9C-101B-9397-08002B2CF9AE}" pid="6" name="MSIP_Label_3cf60f09-0569-4b45-9873-2c9c1ef9f1e0_Name">
    <vt:lpwstr>General</vt:lpwstr>
  </property>
  <property fmtid="{D5CDD505-2E9C-101B-9397-08002B2CF9AE}" pid="7" name="MSIP_Label_3cf60f09-0569-4b45-9873-2c9c1ef9f1e0_SiteId">
    <vt:lpwstr>2311a55c-d508-4e3a-aeb8-47a08b156aa5</vt:lpwstr>
  </property>
  <property fmtid="{D5CDD505-2E9C-101B-9397-08002B2CF9AE}" pid="8" name="MSIP_Label_3cf60f09-0569-4b45-9873-2c9c1ef9f1e0_ActionId">
    <vt:lpwstr>9e758cc3-37bc-4cf8-96c6-8ea58dc33d44</vt:lpwstr>
  </property>
  <property fmtid="{D5CDD505-2E9C-101B-9397-08002B2CF9AE}" pid="9" name="MSIP_Label_3cf60f09-0569-4b45-9873-2c9c1ef9f1e0_ContentBits">
    <vt:lpwstr>0</vt:lpwstr>
  </property>
  <property fmtid="{D5CDD505-2E9C-101B-9397-08002B2CF9AE}" pid="10" name="MSIP_Label_3cf60f09-0569-4b45-9873-2c9c1ef9f1e0_Tag">
    <vt:lpwstr>10, 3, 0, 2</vt:lpwstr>
  </property>
  <property fmtid="{D5CDD505-2E9C-101B-9397-08002B2CF9AE}" pid="11" name="MediaServiceImageTags">
    <vt:lpwstr/>
  </property>
</Properties>
</file>